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881AC7" w14:textId="1D1C1BFA" w:rsidR="005061A1" w:rsidRPr="005061A1" w:rsidRDefault="00161F91" w:rsidP="005061A1">
      <w:pPr>
        <w:spacing w:after="0" w:line="360" w:lineRule="auto"/>
        <w:rPr>
          <w:rFonts w:ascii="Book Antiqua" w:hAnsi="Book Antiqua" w:cstheme="minorHAnsi"/>
          <w:b/>
          <w:sz w:val="24"/>
          <w:szCs w:val="24"/>
          <w:lang w:val="en-US"/>
        </w:rPr>
      </w:pPr>
      <w:r>
        <w:rPr>
          <w:rFonts w:ascii="Book Antiqua" w:hAnsi="Book Antiqua" w:cstheme="minorHAnsi"/>
          <w:b/>
          <w:sz w:val="24"/>
          <w:szCs w:val="24"/>
          <w:lang w:val="en-US"/>
        </w:rPr>
        <w:t>Supplementary Table 1</w:t>
      </w:r>
      <w:r w:rsidR="005061A1" w:rsidRPr="009571E5">
        <w:rPr>
          <w:rFonts w:ascii="Book Antiqua" w:hAnsi="Book Antiqua" w:cstheme="minorHAnsi"/>
          <w:b/>
          <w:sz w:val="24"/>
          <w:szCs w:val="24"/>
          <w:lang w:val="en-US"/>
        </w:rPr>
        <w:t xml:space="preserve"> Summary of </w:t>
      </w:r>
      <w:r w:rsidRPr="009571E5">
        <w:rPr>
          <w:rFonts w:ascii="Book Antiqua" w:hAnsi="Book Antiqua" w:cstheme="minorHAnsi"/>
          <w:b/>
          <w:sz w:val="24"/>
          <w:szCs w:val="24"/>
          <w:lang w:val="en-US"/>
        </w:rPr>
        <w:t>outcome definitions for fistula closure in included studies</w:t>
      </w:r>
    </w:p>
    <w:tbl>
      <w:tblPr>
        <w:tblW w:w="0" w:type="auto"/>
        <w:tblCellSpacing w:w="15" w:type="dxa"/>
        <w:tblBorders>
          <w:bottom w:val="single" w:sz="4" w:space="0" w:color="auto"/>
        </w:tblBorders>
        <w:tblCellMar>
          <w:top w:w="15" w:type="dxa"/>
          <w:left w:w="15" w:type="dxa"/>
          <w:bottom w:w="15" w:type="dxa"/>
          <w:right w:w="15" w:type="dxa"/>
        </w:tblCellMar>
        <w:tblLook w:val="04A0" w:firstRow="1" w:lastRow="0" w:firstColumn="1" w:lastColumn="0" w:noHBand="0" w:noVBand="1"/>
      </w:tblPr>
      <w:tblGrid>
        <w:gridCol w:w="1082"/>
        <w:gridCol w:w="4500"/>
        <w:gridCol w:w="1308"/>
        <w:gridCol w:w="4388"/>
        <w:gridCol w:w="2726"/>
      </w:tblGrid>
      <w:tr w:rsidR="005061A1" w:rsidRPr="005061A1" w14:paraId="7C82D105" w14:textId="77777777" w:rsidTr="00146B86">
        <w:trPr>
          <w:tblHeader/>
          <w:tblCellSpacing w:w="15" w:type="dxa"/>
        </w:trPr>
        <w:tc>
          <w:tcPr>
            <w:tcW w:w="0" w:type="auto"/>
            <w:tcBorders>
              <w:top w:val="single" w:sz="4" w:space="0" w:color="auto"/>
              <w:bottom w:val="single" w:sz="4" w:space="0" w:color="auto"/>
            </w:tcBorders>
            <w:vAlign w:val="center"/>
            <w:hideMark/>
          </w:tcPr>
          <w:p w14:paraId="0C784A0B" w14:textId="77777777" w:rsidR="005061A1" w:rsidRPr="0091531E" w:rsidRDefault="005061A1" w:rsidP="00146B86">
            <w:pPr>
              <w:spacing w:after="0" w:line="360" w:lineRule="auto"/>
              <w:rPr>
                <w:rFonts w:ascii="Book Antiqua" w:hAnsi="Book Antiqua" w:cstheme="minorHAnsi"/>
                <w:b/>
                <w:bCs/>
                <w:sz w:val="16"/>
                <w:szCs w:val="24"/>
              </w:rPr>
            </w:pPr>
            <w:r w:rsidRPr="0091531E">
              <w:rPr>
                <w:rFonts w:ascii="Book Antiqua" w:hAnsi="Book Antiqua" w:cstheme="minorHAnsi"/>
                <w:b/>
                <w:bCs/>
                <w:sz w:val="16"/>
                <w:szCs w:val="24"/>
              </w:rPr>
              <w:lastRenderedPageBreak/>
              <w:t>Study</w:t>
            </w:r>
          </w:p>
        </w:tc>
        <w:tc>
          <w:tcPr>
            <w:tcW w:w="0" w:type="auto"/>
            <w:tcBorders>
              <w:top w:val="single" w:sz="4" w:space="0" w:color="auto"/>
              <w:bottom w:val="single" w:sz="4" w:space="0" w:color="auto"/>
            </w:tcBorders>
            <w:vAlign w:val="center"/>
            <w:hideMark/>
          </w:tcPr>
          <w:p w14:paraId="7DBD444F" w14:textId="77777777" w:rsidR="005061A1" w:rsidRPr="0091531E" w:rsidRDefault="005061A1" w:rsidP="00146B86">
            <w:pPr>
              <w:spacing w:after="0" w:line="360" w:lineRule="auto"/>
              <w:rPr>
                <w:rFonts w:ascii="Book Antiqua" w:hAnsi="Book Antiqua" w:cstheme="minorHAnsi"/>
                <w:b/>
                <w:bCs/>
                <w:sz w:val="16"/>
                <w:szCs w:val="24"/>
              </w:rPr>
            </w:pPr>
            <w:r w:rsidRPr="0091531E">
              <w:rPr>
                <w:rFonts w:ascii="Book Antiqua" w:hAnsi="Book Antiqua" w:cstheme="minorHAnsi"/>
                <w:b/>
                <w:bCs/>
                <w:sz w:val="16"/>
                <w:szCs w:val="24"/>
              </w:rPr>
              <w:t>Definition of Fistula Closure</w:t>
            </w:r>
          </w:p>
        </w:tc>
        <w:tc>
          <w:tcPr>
            <w:tcW w:w="0" w:type="auto"/>
            <w:tcBorders>
              <w:top w:val="single" w:sz="4" w:space="0" w:color="auto"/>
              <w:bottom w:val="single" w:sz="4" w:space="0" w:color="auto"/>
            </w:tcBorders>
            <w:vAlign w:val="center"/>
            <w:hideMark/>
          </w:tcPr>
          <w:p w14:paraId="60F2935E" w14:textId="77777777" w:rsidR="005061A1" w:rsidRPr="0091531E" w:rsidRDefault="005061A1" w:rsidP="00146B86">
            <w:pPr>
              <w:spacing w:after="0" w:line="360" w:lineRule="auto"/>
              <w:rPr>
                <w:rFonts w:ascii="Book Antiqua" w:hAnsi="Book Antiqua" w:cstheme="minorHAnsi"/>
                <w:b/>
                <w:bCs/>
                <w:sz w:val="16"/>
                <w:szCs w:val="24"/>
              </w:rPr>
            </w:pPr>
            <w:r w:rsidRPr="0091531E">
              <w:rPr>
                <w:rFonts w:ascii="Book Antiqua" w:hAnsi="Book Antiqua" w:cstheme="minorHAnsi"/>
                <w:b/>
                <w:bCs/>
                <w:sz w:val="16"/>
                <w:szCs w:val="24"/>
              </w:rPr>
              <w:t>Output Reduction Threshold</w:t>
            </w:r>
          </w:p>
        </w:tc>
        <w:tc>
          <w:tcPr>
            <w:tcW w:w="0" w:type="auto"/>
            <w:tcBorders>
              <w:top w:val="single" w:sz="4" w:space="0" w:color="auto"/>
              <w:bottom w:val="single" w:sz="4" w:space="0" w:color="auto"/>
            </w:tcBorders>
            <w:vAlign w:val="center"/>
            <w:hideMark/>
          </w:tcPr>
          <w:p w14:paraId="550C62FA" w14:textId="77777777" w:rsidR="005061A1" w:rsidRPr="0091531E" w:rsidRDefault="005061A1" w:rsidP="00146B86">
            <w:pPr>
              <w:spacing w:after="0" w:line="360" w:lineRule="auto"/>
              <w:rPr>
                <w:rFonts w:ascii="Book Antiqua" w:hAnsi="Book Antiqua" w:cstheme="minorHAnsi"/>
                <w:b/>
                <w:bCs/>
                <w:sz w:val="16"/>
                <w:szCs w:val="24"/>
              </w:rPr>
            </w:pPr>
            <w:r w:rsidRPr="0091531E">
              <w:rPr>
                <w:rFonts w:ascii="Book Antiqua" w:hAnsi="Book Antiqua" w:cstheme="minorHAnsi"/>
                <w:b/>
                <w:bCs/>
                <w:sz w:val="16"/>
                <w:szCs w:val="24"/>
              </w:rPr>
              <w:t>Imaging or Other Confirmation</w:t>
            </w:r>
          </w:p>
        </w:tc>
        <w:tc>
          <w:tcPr>
            <w:tcW w:w="0" w:type="auto"/>
            <w:tcBorders>
              <w:top w:val="single" w:sz="4" w:space="0" w:color="auto"/>
              <w:bottom w:val="single" w:sz="4" w:space="0" w:color="auto"/>
            </w:tcBorders>
            <w:vAlign w:val="center"/>
            <w:hideMark/>
          </w:tcPr>
          <w:p w14:paraId="573DE4E4" w14:textId="77777777" w:rsidR="005061A1" w:rsidRPr="0091531E" w:rsidRDefault="005061A1" w:rsidP="00146B86">
            <w:pPr>
              <w:spacing w:after="0" w:line="360" w:lineRule="auto"/>
              <w:rPr>
                <w:rFonts w:ascii="Book Antiqua" w:hAnsi="Book Antiqua" w:cstheme="minorHAnsi"/>
                <w:b/>
                <w:bCs/>
                <w:sz w:val="16"/>
                <w:szCs w:val="24"/>
              </w:rPr>
            </w:pPr>
            <w:r w:rsidRPr="0091531E">
              <w:rPr>
                <w:rFonts w:ascii="Book Antiqua" w:hAnsi="Book Antiqua" w:cstheme="minorHAnsi"/>
                <w:b/>
                <w:bCs/>
                <w:sz w:val="16"/>
                <w:szCs w:val="24"/>
              </w:rPr>
              <w:t>Notes on Heterogeneity</w:t>
            </w:r>
          </w:p>
        </w:tc>
      </w:tr>
      <w:tr w:rsidR="005061A1" w:rsidRPr="009571E5" w14:paraId="6F379130" w14:textId="77777777" w:rsidTr="00657586">
        <w:trPr>
          <w:tblHeader/>
          <w:tblCellSpacing w:w="15" w:type="dxa"/>
        </w:trPr>
        <w:tc>
          <w:tcPr>
            <w:tcW w:w="0" w:type="auto"/>
            <w:hideMark/>
          </w:tcPr>
          <w:p w14:paraId="4199B6FC" w14:textId="77777777" w:rsidR="005061A1" w:rsidRPr="0091531E" w:rsidRDefault="005061A1" w:rsidP="00146B86">
            <w:pPr>
              <w:spacing w:after="0" w:line="360" w:lineRule="auto"/>
              <w:rPr>
                <w:rFonts w:ascii="Book Antiqua" w:hAnsi="Book Antiqua" w:cstheme="minorHAnsi"/>
                <w:sz w:val="16"/>
                <w:szCs w:val="24"/>
              </w:rPr>
            </w:pPr>
            <w:r w:rsidRPr="0091531E">
              <w:rPr>
                <w:rFonts w:ascii="Book Antiqua" w:hAnsi="Book Antiqua" w:cstheme="minorHAnsi"/>
                <w:sz w:val="16"/>
                <w:szCs w:val="24"/>
              </w:rPr>
              <w:t>Torres 1992</w:t>
            </w:r>
            <w:r w:rsidR="00370198" w:rsidRPr="0091531E">
              <w:rPr>
                <w:rFonts w:ascii="Book Antiqua" w:hAnsi="Book Antiqua" w:cstheme="minorHAnsi"/>
                <w:sz w:val="16"/>
                <w:szCs w:val="24"/>
              </w:rPr>
              <w:t>[1]</w:t>
            </w:r>
          </w:p>
        </w:tc>
        <w:tc>
          <w:tcPr>
            <w:tcW w:w="0" w:type="auto"/>
            <w:hideMark/>
          </w:tcPr>
          <w:p w14:paraId="3E39F6B2" w14:textId="77777777" w:rsidR="005061A1"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Cessation of fistula output for 48 hours, without recurrence. (Location: Results section, page 2: "A definitive healing of the fistula was observed when the fistula had been unproductive for 48 hours.")</w:t>
            </w:r>
          </w:p>
          <w:p w14:paraId="410DB94A" w14:textId="77777777" w:rsidR="00FF2E2E" w:rsidRPr="0091531E" w:rsidRDefault="00FF2E2E" w:rsidP="00146B86">
            <w:pPr>
              <w:spacing w:after="0" w:line="360" w:lineRule="auto"/>
              <w:rPr>
                <w:rFonts w:ascii="Book Antiqua" w:hAnsi="Book Antiqua" w:cstheme="minorHAnsi"/>
                <w:sz w:val="16"/>
                <w:szCs w:val="24"/>
                <w:lang w:val="en-US"/>
              </w:rPr>
            </w:pPr>
          </w:p>
        </w:tc>
        <w:tc>
          <w:tcPr>
            <w:tcW w:w="0" w:type="auto"/>
            <w:hideMark/>
          </w:tcPr>
          <w:p w14:paraId="468A1A42" w14:textId="77777777" w:rsidR="005061A1" w:rsidRPr="0091531E" w:rsidRDefault="005061A1" w:rsidP="00146B86">
            <w:pPr>
              <w:spacing w:after="0" w:line="360" w:lineRule="auto"/>
              <w:rPr>
                <w:rFonts w:ascii="Book Antiqua" w:hAnsi="Book Antiqua" w:cstheme="minorHAnsi"/>
                <w:sz w:val="16"/>
                <w:szCs w:val="24"/>
              </w:rPr>
            </w:pPr>
            <w:r w:rsidRPr="0091531E">
              <w:rPr>
                <w:rFonts w:ascii="Book Antiqua" w:hAnsi="Book Antiqua" w:cstheme="minorHAnsi"/>
                <w:sz w:val="16"/>
                <w:szCs w:val="24"/>
              </w:rPr>
              <w:t>Zero output for 48 hours.</w:t>
            </w:r>
          </w:p>
        </w:tc>
        <w:tc>
          <w:tcPr>
            <w:tcW w:w="0" w:type="auto"/>
            <w:hideMark/>
          </w:tcPr>
          <w:p w14:paraId="3B1E2FAB" w14:textId="77777777" w:rsidR="005061A1" w:rsidRPr="0091531E"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Not mentioned; primarily clinical assessment.</w:t>
            </w:r>
          </w:p>
        </w:tc>
        <w:tc>
          <w:tcPr>
            <w:tcW w:w="0" w:type="auto"/>
            <w:hideMark/>
          </w:tcPr>
          <w:p w14:paraId="101776DC" w14:textId="77777777" w:rsidR="005061A1" w:rsidRPr="0091531E"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Short duration threshold without imaging, potentially underestimating incomplete closures.</w:t>
            </w:r>
          </w:p>
        </w:tc>
      </w:tr>
      <w:tr w:rsidR="005061A1" w:rsidRPr="009571E5" w14:paraId="3C1CE5CA" w14:textId="77777777" w:rsidTr="00657586">
        <w:trPr>
          <w:tblHeader/>
          <w:tblCellSpacing w:w="15" w:type="dxa"/>
        </w:trPr>
        <w:tc>
          <w:tcPr>
            <w:tcW w:w="0" w:type="auto"/>
            <w:hideMark/>
          </w:tcPr>
          <w:p w14:paraId="41C9D247" w14:textId="77777777" w:rsidR="005061A1" w:rsidRPr="0091531E" w:rsidRDefault="005061A1" w:rsidP="00176647">
            <w:pPr>
              <w:spacing w:after="0" w:line="360" w:lineRule="auto"/>
              <w:rPr>
                <w:rFonts w:ascii="Book Antiqua" w:hAnsi="Book Antiqua" w:cstheme="minorHAnsi"/>
                <w:sz w:val="16"/>
                <w:szCs w:val="24"/>
              </w:rPr>
            </w:pPr>
            <w:r w:rsidRPr="0091531E">
              <w:rPr>
                <w:rFonts w:ascii="Book Antiqua" w:hAnsi="Book Antiqua" w:cstheme="minorHAnsi"/>
                <w:sz w:val="16"/>
                <w:szCs w:val="24"/>
              </w:rPr>
              <w:t>Scott 1993</w:t>
            </w:r>
            <w:r w:rsidR="00370198" w:rsidRPr="0091531E">
              <w:rPr>
                <w:rFonts w:ascii="Book Antiqua" w:hAnsi="Book Antiqua" w:cstheme="minorHAnsi"/>
                <w:sz w:val="16"/>
                <w:szCs w:val="24"/>
              </w:rPr>
              <w:t>[</w:t>
            </w:r>
            <w:r w:rsidR="00176647" w:rsidRPr="0091531E">
              <w:rPr>
                <w:rFonts w:ascii="Book Antiqua" w:hAnsi="Book Antiqua" w:cstheme="minorHAnsi"/>
                <w:sz w:val="16"/>
                <w:szCs w:val="24"/>
              </w:rPr>
              <w:t>19</w:t>
            </w:r>
            <w:r w:rsidR="00370198" w:rsidRPr="0091531E">
              <w:rPr>
                <w:rFonts w:ascii="Book Antiqua" w:hAnsi="Book Antiqua" w:cstheme="minorHAnsi"/>
                <w:sz w:val="16"/>
                <w:szCs w:val="24"/>
              </w:rPr>
              <w:t>]</w:t>
            </w:r>
          </w:p>
        </w:tc>
        <w:tc>
          <w:tcPr>
            <w:tcW w:w="0" w:type="auto"/>
            <w:hideMark/>
          </w:tcPr>
          <w:p w14:paraId="6B3AA3BD" w14:textId="77777777" w:rsidR="005061A1"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No fistula output for 2 or more successive days during the 12-day therapy period. (Location: Methods and patients section, page 267: "Fistula closure was defined as 2 or more successive days with no fistula losses in the 12 day therapy period.")</w:t>
            </w:r>
          </w:p>
          <w:p w14:paraId="7694C0BC" w14:textId="77777777" w:rsidR="00E750D2" w:rsidRPr="0091531E" w:rsidRDefault="00E750D2" w:rsidP="00146B86">
            <w:pPr>
              <w:spacing w:after="0" w:line="360" w:lineRule="auto"/>
              <w:rPr>
                <w:rFonts w:ascii="Book Antiqua" w:hAnsi="Book Antiqua" w:cstheme="minorHAnsi"/>
                <w:sz w:val="16"/>
                <w:szCs w:val="24"/>
                <w:lang w:val="en-US"/>
              </w:rPr>
            </w:pPr>
          </w:p>
        </w:tc>
        <w:tc>
          <w:tcPr>
            <w:tcW w:w="0" w:type="auto"/>
            <w:hideMark/>
          </w:tcPr>
          <w:p w14:paraId="43B2EF6C" w14:textId="77777777" w:rsidR="005061A1" w:rsidRPr="0091531E" w:rsidRDefault="005061A1" w:rsidP="00146B86">
            <w:pPr>
              <w:spacing w:after="0" w:line="360" w:lineRule="auto"/>
              <w:rPr>
                <w:rFonts w:ascii="Book Antiqua" w:hAnsi="Book Antiqua" w:cstheme="minorHAnsi"/>
                <w:sz w:val="16"/>
                <w:szCs w:val="24"/>
              </w:rPr>
            </w:pPr>
            <w:r w:rsidRPr="0091531E">
              <w:rPr>
                <w:rFonts w:ascii="Book Antiqua" w:hAnsi="Book Antiqua" w:cstheme="minorHAnsi"/>
                <w:sz w:val="16"/>
                <w:szCs w:val="24"/>
              </w:rPr>
              <w:t>Zero output for ≥2 days.</w:t>
            </w:r>
          </w:p>
        </w:tc>
        <w:tc>
          <w:tcPr>
            <w:tcW w:w="0" w:type="auto"/>
            <w:hideMark/>
          </w:tcPr>
          <w:p w14:paraId="4297D747" w14:textId="77777777" w:rsidR="005061A1" w:rsidRPr="0091531E" w:rsidRDefault="005061A1" w:rsidP="00146B86">
            <w:pPr>
              <w:spacing w:after="0" w:line="360" w:lineRule="auto"/>
              <w:rPr>
                <w:rFonts w:ascii="Book Antiqua" w:hAnsi="Book Antiqua" w:cstheme="minorHAnsi"/>
                <w:sz w:val="16"/>
                <w:szCs w:val="24"/>
              </w:rPr>
            </w:pPr>
            <w:r w:rsidRPr="0091531E">
              <w:rPr>
                <w:rFonts w:ascii="Book Antiqua" w:hAnsi="Book Antiqua" w:cstheme="minorHAnsi"/>
                <w:sz w:val="16"/>
                <w:szCs w:val="24"/>
              </w:rPr>
              <w:t>Not mentioned; clinical only.</w:t>
            </w:r>
          </w:p>
        </w:tc>
        <w:tc>
          <w:tcPr>
            <w:tcW w:w="0" w:type="auto"/>
            <w:hideMark/>
          </w:tcPr>
          <w:p w14:paraId="562A9EDA" w14:textId="77777777" w:rsidR="005061A1" w:rsidRPr="0091531E"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Short duration threshold without imaging, similar to Torres 1992 but emphasizes therapy period.</w:t>
            </w:r>
          </w:p>
        </w:tc>
      </w:tr>
      <w:tr w:rsidR="005061A1" w:rsidRPr="009571E5" w14:paraId="299DC150" w14:textId="77777777" w:rsidTr="00657586">
        <w:trPr>
          <w:tblHeader/>
          <w:tblCellSpacing w:w="15" w:type="dxa"/>
        </w:trPr>
        <w:tc>
          <w:tcPr>
            <w:tcW w:w="0" w:type="auto"/>
            <w:hideMark/>
          </w:tcPr>
          <w:p w14:paraId="3BA852FF" w14:textId="77777777" w:rsidR="005061A1" w:rsidRPr="0091531E" w:rsidRDefault="005061A1" w:rsidP="00146B86">
            <w:pPr>
              <w:spacing w:after="0" w:line="360" w:lineRule="auto"/>
              <w:rPr>
                <w:rFonts w:ascii="Book Antiqua" w:hAnsi="Book Antiqua" w:cstheme="minorHAnsi"/>
                <w:sz w:val="16"/>
                <w:szCs w:val="24"/>
              </w:rPr>
            </w:pPr>
            <w:r w:rsidRPr="0091531E">
              <w:rPr>
                <w:rFonts w:ascii="Book Antiqua" w:hAnsi="Book Antiqua" w:cstheme="minorHAnsi"/>
                <w:sz w:val="16"/>
                <w:szCs w:val="24"/>
              </w:rPr>
              <w:t>Isenmann 1994</w:t>
            </w:r>
            <w:r w:rsidR="00370198" w:rsidRPr="0091531E">
              <w:rPr>
                <w:rFonts w:ascii="Book Antiqua" w:hAnsi="Book Antiqua" w:cstheme="minorHAnsi"/>
                <w:sz w:val="16"/>
                <w:szCs w:val="24"/>
              </w:rPr>
              <w:t>[20]</w:t>
            </w:r>
          </w:p>
        </w:tc>
        <w:tc>
          <w:tcPr>
            <w:tcW w:w="0" w:type="auto"/>
            <w:hideMark/>
          </w:tcPr>
          <w:p w14:paraId="33AC75CF" w14:textId="157B5EE4" w:rsidR="005061A1"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Fistula secretion volume &lt;5 mL/day, confirmed radiologically or by ultrasonog</w:t>
            </w:r>
            <w:r w:rsidRPr="00161F91">
              <w:rPr>
                <w:rFonts w:ascii="Book Antiqua" w:hAnsi="Book Antiqua" w:cstheme="minorHAnsi"/>
                <w:sz w:val="16"/>
                <w:szCs w:val="24"/>
                <w:lang w:val="en-US"/>
              </w:rPr>
              <w:t>raphy. (Location: "</w:t>
            </w:r>
            <w:r w:rsidR="009571E5" w:rsidRPr="00161F91">
              <w:rPr>
                <w:lang w:val="en-US"/>
              </w:rPr>
              <w:t xml:space="preserve"> </w:t>
            </w:r>
            <w:r w:rsidR="009571E5" w:rsidRPr="00161F91">
              <w:rPr>
                <w:rFonts w:ascii="Book Antiqua" w:hAnsi="Book Antiqua" w:cstheme="minorHAnsi"/>
                <w:sz w:val="16"/>
                <w:szCs w:val="24"/>
                <w:lang w:val="en-US"/>
              </w:rPr>
              <w:t>The outcome “fistula closure” was defined as a drainage volume of less than 5 mL per day and was confirmed radiologically or by ultrasonography.</w:t>
            </w:r>
            <w:r w:rsidRPr="00161F91">
              <w:rPr>
                <w:rFonts w:ascii="Book Antiqua" w:hAnsi="Book Antiqua" w:cstheme="minorHAnsi"/>
                <w:sz w:val="16"/>
                <w:szCs w:val="24"/>
                <w:lang w:val="en-US"/>
              </w:rPr>
              <w:t>")</w:t>
            </w:r>
          </w:p>
          <w:p w14:paraId="4384C798" w14:textId="1C393331" w:rsidR="00E750D2" w:rsidRPr="009571E5" w:rsidRDefault="00E750D2" w:rsidP="00146B86">
            <w:pPr>
              <w:spacing w:after="0" w:line="360" w:lineRule="auto"/>
              <w:rPr>
                <w:rFonts w:ascii="Book Antiqua" w:hAnsi="Book Antiqua" w:cstheme="minorHAnsi"/>
                <w:sz w:val="16"/>
                <w:szCs w:val="24"/>
                <w:lang w:val="en-US"/>
              </w:rPr>
            </w:pPr>
          </w:p>
        </w:tc>
        <w:tc>
          <w:tcPr>
            <w:tcW w:w="0" w:type="auto"/>
            <w:hideMark/>
          </w:tcPr>
          <w:p w14:paraId="57E9EC95" w14:textId="77777777" w:rsidR="005061A1" w:rsidRPr="0091531E" w:rsidRDefault="005061A1" w:rsidP="00146B86">
            <w:pPr>
              <w:spacing w:after="0" w:line="360" w:lineRule="auto"/>
              <w:rPr>
                <w:rFonts w:ascii="Book Antiqua" w:hAnsi="Book Antiqua" w:cstheme="minorHAnsi"/>
                <w:sz w:val="16"/>
                <w:szCs w:val="24"/>
              </w:rPr>
            </w:pPr>
            <w:r w:rsidRPr="0091531E">
              <w:rPr>
                <w:rFonts w:ascii="Book Antiqua" w:hAnsi="Book Antiqua" w:cstheme="minorHAnsi"/>
                <w:sz w:val="16"/>
                <w:szCs w:val="24"/>
              </w:rPr>
              <w:t>&lt;5 mL/day.</w:t>
            </w:r>
          </w:p>
        </w:tc>
        <w:tc>
          <w:tcPr>
            <w:tcW w:w="0" w:type="auto"/>
            <w:hideMark/>
          </w:tcPr>
          <w:p w14:paraId="4425EC37" w14:textId="77777777" w:rsidR="005061A1" w:rsidRPr="0091531E" w:rsidRDefault="005061A1" w:rsidP="00146B86">
            <w:pPr>
              <w:spacing w:after="0" w:line="360" w:lineRule="auto"/>
              <w:rPr>
                <w:rFonts w:ascii="Book Antiqua" w:hAnsi="Book Antiqua" w:cstheme="minorHAnsi"/>
                <w:sz w:val="16"/>
                <w:szCs w:val="24"/>
              </w:rPr>
            </w:pPr>
            <w:r w:rsidRPr="0091531E">
              <w:rPr>
                <w:rFonts w:ascii="Book Antiqua" w:hAnsi="Book Antiqua" w:cstheme="minorHAnsi"/>
                <w:sz w:val="16"/>
                <w:szCs w:val="24"/>
              </w:rPr>
              <w:t>Radiological or ultrasonographic confirmation.</w:t>
            </w:r>
          </w:p>
        </w:tc>
        <w:tc>
          <w:tcPr>
            <w:tcW w:w="0" w:type="auto"/>
            <w:hideMark/>
          </w:tcPr>
          <w:p w14:paraId="7DE3DCE2" w14:textId="77777777" w:rsidR="005061A1" w:rsidRPr="0091531E"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Stricter definition with low threshold and imaging confirmation, differing from output-only definitions.</w:t>
            </w:r>
          </w:p>
        </w:tc>
      </w:tr>
      <w:tr w:rsidR="005061A1" w:rsidRPr="009571E5" w14:paraId="49CD5A3C" w14:textId="77777777" w:rsidTr="00E23EC3">
        <w:trPr>
          <w:tblHeader/>
          <w:tblCellSpacing w:w="15" w:type="dxa"/>
        </w:trPr>
        <w:tc>
          <w:tcPr>
            <w:tcW w:w="0" w:type="auto"/>
            <w:hideMark/>
          </w:tcPr>
          <w:p w14:paraId="240DF39B" w14:textId="77777777" w:rsidR="005061A1" w:rsidRPr="0091531E" w:rsidRDefault="005061A1" w:rsidP="00146B86">
            <w:pPr>
              <w:spacing w:after="0" w:line="360" w:lineRule="auto"/>
              <w:rPr>
                <w:rFonts w:ascii="Book Antiqua" w:hAnsi="Book Antiqua" w:cstheme="minorHAnsi"/>
                <w:sz w:val="16"/>
                <w:szCs w:val="24"/>
              </w:rPr>
            </w:pPr>
            <w:r w:rsidRPr="0091531E">
              <w:rPr>
                <w:rFonts w:ascii="Book Antiqua" w:hAnsi="Book Antiqua" w:cstheme="minorHAnsi"/>
                <w:sz w:val="16"/>
                <w:szCs w:val="24"/>
              </w:rPr>
              <w:t>Sancho 1995</w:t>
            </w:r>
            <w:r w:rsidR="00370198" w:rsidRPr="0091531E">
              <w:rPr>
                <w:rFonts w:ascii="Book Antiqua" w:hAnsi="Book Antiqua" w:cstheme="minorHAnsi"/>
                <w:sz w:val="16"/>
                <w:szCs w:val="24"/>
              </w:rPr>
              <w:t>[21]</w:t>
            </w:r>
          </w:p>
        </w:tc>
        <w:tc>
          <w:tcPr>
            <w:tcW w:w="0" w:type="auto"/>
            <w:hideMark/>
          </w:tcPr>
          <w:p w14:paraId="4647371B" w14:textId="77777777" w:rsidR="005061A1" w:rsidRPr="0091531E"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Absence of fistula output for at least 2 days, confirmed by clinical examination. (Location: Patients and methods section, page 639: "Closure within 20 days was observed..."; inferred from output reduction and clinical confirmation, but explicit: "No fistula output for at least 2 days, confirmed by clinical examination.")</w:t>
            </w:r>
          </w:p>
        </w:tc>
        <w:tc>
          <w:tcPr>
            <w:tcW w:w="0" w:type="auto"/>
            <w:hideMark/>
          </w:tcPr>
          <w:p w14:paraId="3519F0AF" w14:textId="77777777" w:rsidR="005061A1" w:rsidRPr="0091531E" w:rsidRDefault="005061A1" w:rsidP="00146B86">
            <w:pPr>
              <w:spacing w:after="0" w:line="360" w:lineRule="auto"/>
              <w:rPr>
                <w:rFonts w:ascii="Book Antiqua" w:hAnsi="Book Antiqua" w:cstheme="minorHAnsi"/>
                <w:sz w:val="16"/>
                <w:szCs w:val="24"/>
              </w:rPr>
            </w:pPr>
            <w:r w:rsidRPr="0091531E">
              <w:rPr>
                <w:rFonts w:ascii="Book Antiqua" w:hAnsi="Book Antiqua" w:cstheme="minorHAnsi"/>
                <w:sz w:val="16"/>
                <w:szCs w:val="24"/>
              </w:rPr>
              <w:t>Zero output for ≥2 days.</w:t>
            </w:r>
          </w:p>
        </w:tc>
        <w:tc>
          <w:tcPr>
            <w:tcW w:w="0" w:type="auto"/>
            <w:hideMark/>
          </w:tcPr>
          <w:p w14:paraId="3F33364D" w14:textId="77777777" w:rsidR="005061A1" w:rsidRPr="0091531E"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Clinical examination; imaging if doubt persists. (Location: Patients and methods, page 639: "imaging if doubt persists.")</w:t>
            </w:r>
          </w:p>
        </w:tc>
        <w:tc>
          <w:tcPr>
            <w:tcW w:w="0" w:type="auto"/>
            <w:hideMark/>
          </w:tcPr>
          <w:p w14:paraId="2AB701D0" w14:textId="77777777" w:rsidR="005061A1" w:rsidRPr="0091531E"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Includes optional imaging, adding variability compared to purely clinical definitions.</w:t>
            </w:r>
          </w:p>
        </w:tc>
      </w:tr>
      <w:tr w:rsidR="005061A1" w:rsidRPr="009571E5" w14:paraId="0C828379" w14:textId="77777777" w:rsidTr="00E23EC3">
        <w:trPr>
          <w:tblHeader/>
          <w:tblCellSpacing w:w="15" w:type="dxa"/>
        </w:trPr>
        <w:tc>
          <w:tcPr>
            <w:tcW w:w="0" w:type="auto"/>
            <w:hideMark/>
          </w:tcPr>
          <w:p w14:paraId="660B892F" w14:textId="77777777" w:rsidR="005061A1" w:rsidRPr="0091531E" w:rsidRDefault="005061A1" w:rsidP="00146B86">
            <w:pPr>
              <w:spacing w:after="0" w:line="360" w:lineRule="auto"/>
              <w:rPr>
                <w:rFonts w:ascii="Book Antiqua" w:hAnsi="Book Antiqua" w:cstheme="minorHAnsi"/>
                <w:sz w:val="16"/>
                <w:szCs w:val="24"/>
              </w:rPr>
            </w:pPr>
            <w:r w:rsidRPr="0091531E">
              <w:rPr>
                <w:rFonts w:ascii="Book Antiqua" w:hAnsi="Book Antiqua" w:cstheme="minorHAnsi"/>
                <w:sz w:val="16"/>
                <w:szCs w:val="24"/>
              </w:rPr>
              <w:lastRenderedPageBreak/>
              <w:t>Hernández-Aranda 1996</w:t>
            </w:r>
            <w:r w:rsidR="00370198" w:rsidRPr="0091531E">
              <w:rPr>
                <w:rFonts w:ascii="Book Antiqua" w:hAnsi="Book Antiqua" w:cstheme="minorHAnsi"/>
                <w:sz w:val="16"/>
                <w:szCs w:val="24"/>
              </w:rPr>
              <w:t>[2]</w:t>
            </w:r>
          </w:p>
        </w:tc>
        <w:tc>
          <w:tcPr>
            <w:tcW w:w="0" w:type="auto"/>
            <w:hideMark/>
          </w:tcPr>
          <w:p w14:paraId="2BD01D98" w14:textId="77777777" w:rsidR="005061A1"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Spontaneous closure of the fistula, defined as cessation of fistula output. (Location: Abstract and Results, page 226-227: "Spontaneous healing of Fistula" based on cessation of output; no explicit duration.)</w:t>
            </w:r>
          </w:p>
          <w:p w14:paraId="639AC4A9" w14:textId="77777777" w:rsidR="00E750D2" w:rsidRPr="0091531E" w:rsidRDefault="00E750D2" w:rsidP="00146B86">
            <w:pPr>
              <w:spacing w:after="0" w:line="360" w:lineRule="auto"/>
              <w:rPr>
                <w:rFonts w:ascii="Book Antiqua" w:hAnsi="Book Antiqua" w:cstheme="minorHAnsi"/>
                <w:sz w:val="16"/>
                <w:szCs w:val="24"/>
                <w:lang w:val="en-US"/>
              </w:rPr>
            </w:pPr>
          </w:p>
        </w:tc>
        <w:tc>
          <w:tcPr>
            <w:tcW w:w="0" w:type="auto"/>
            <w:hideMark/>
          </w:tcPr>
          <w:p w14:paraId="43777983" w14:textId="77777777" w:rsidR="005061A1" w:rsidRPr="0091531E"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Zero output (duration not specified).</w:t>
            </w:r>
          </w:p>
        </w:tc>
        <w:tc>
          <w:tcPr>
            <w:tcW w:w="0" w:type="auto"/>
            <w:hideMark/>
          </w:tcPr>
          <w:p w14:paraId="597D6291" w14:textId="77777777" w:rsidR="005061A1" w:rsidRPr="0091531E"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Not explicitly for closure; radiological means mentioned for assessment of perpetuating factors or complications. (Location: Not directly stated for closure; general mention in methods for evaluation.)</w:t>
            </w:r>
          </w:p>
        </w:tc>
        <w:tc>
          <w:tcPr>
            <w:tcW w:w="0" w:type="auto"/>
            <w:hideMark/>
          </w:tcPr>
          <w:p w14:paraId="57139C94" w14:textId="77777777" w:rsidR="005061A1"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Definition based on output cessation, with imaging used optionally for general evaluation (not confirmed as mandatory for closure), increasing heterogeneity.</w:t>
            </w:r>
          </w:p>
          <w:p w14:paraId="3A3B358F" w14:textId="77777777" w:rsidR="00DB111C" w:rsidRPr="0091531E" w:rsidRDefault="00DB111C" w:rsidP="00146B86">
            <w:pPr>
              <w:spacing w:after="0" w:line="360" w:lineRule="auto"/>
              <w:rPr>
                <w:rFonts w:ascii="Book Antiqua" w:hAnsi="Book Antiqua" w:cstheme="minorHAnsi"/>
                <w:sz w:val="16"/>
                <w:szCs w:val="24"/>
                <w:lang w:val="en-US"/>
              </w:rPr>
            </w:pPr>
          </w:p>
        </w:tc>
      </w:tr>
      <w:tr w:rsidR="005061A1" w:rsidRPr="009571E5" w14:paraId="482DA2E5" w14:textId="77777777" w:rsidTr="00E23EC3">
        <w:trPr>
          <w:tblHeader/>
          <w:tblCellSpacing w:w="15" w:type="dxa"/>
        </w:trPr>
        <w:tc>
          <w:tcPr>
            <w:tcW w:w="0" w:type="auto"/>
            <w:hideMark/>
          </w:tcPr>
          <w:p w14:paraId="05FA683E" w14:textId="77777777" w:rsidR="005061A1" w:rsidRPr="0091531E" w:rsidRDefault="005061A1" w:rsidP="00146B86">
            <w:pPr>
              <w:spacing w:after="0" w:line="360" w:lineRule="auto"/>
              <w:rPr>
                <w:rFonts w:ascii="Book Antiqua" w:hAnsi="Book Antiqua" w:cstheme="minorHAnsi"/>
                <w:sz w:val="16"/>
                <w:szCs w:val="24"/>
              </w:rPr>
            </w:pPr>
            <w:r w:rsidRPr="0091531E">
              <w:rPr>
                <w:rFonts w:ascii="Book Antiqua" w:hAnsi="Book Antiqua" w:cstheme="minorHAnsi"/>
                <w:sz w:val="16"/>
                <w:szCs w:val="24"/>
              </w:rPr>
              <w:t>Leandros 2004</w:t>
            </w:r>
            <w:r w:rsidR="00370198" w:rsidRPr="0091531E">
              <w:rPr>
                <w:rFonts w:ascii="Book Antiqua" w:hAnsi="Book Antiqua" w:cstheme="minorHAnsi"/>
                <w:sz w:val="16"/>
                <w:szCs w:val="24"/>
              </w:rPr>
              <w:t>[22]</w:t>
            </w:r>
          </w:p>
        </w:tc>
        <w:tc>
          <w:tcPr>
            <w:tcW w:w="0" w:type="auto"/>
            <w:hideMark/>
          </w:tcPr>
          <w:p w14:paraId="53F01B9A" w14:textId="77777777" w:rsidR="005061A1"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Not explicitly defined; referred to as spontaneous closure without specifying criteria. (Location: Throughout the article, e.g., Abstract and Results, pages 303-305: Terms like "fistula closure rate" and "spontaneous closure" used without detailed criteria such as output threshold, duration, or confirmation methods.)</w:t>
            </w:r>
          </w:p>
          <w:p w14:paraId="727DB73C" w14:textId="77777777" w:rsidR="00482544" w:rsidRPr="0091531E" w:rsidRDefault="00482544" w:rsidP="00146B86">
            <w:pPr>
              <w:spacing w:after="0" w:line="360" w:lineRule="auto"/>
              <w:rPr>
                <w:rFonts w:ascii="Book Antiqua" w:hAnsi="Book Antiqua" w:cstheme="minorHAnsi"/>
                <w:sz w:val="16"/>
                <w:szCs w:val="24"/>
                <w:lang w:val="en-US"/>
              </w:rPr>
            </w:pPr>
          </w:p>
        </w:tc>
        <w:tc>
          <w:tcPr>
            <w:tcW w:w="0" w:type="auto"/>
            <w:hideMark/>
          </w:tcPr>
          <w:p w14:paraId="5BEB7926" w14:textId="77777777" w:rsidR="005061A1" w:rsidRPr="0091531E" w:rsidRDefault="005061A1" w:rsidP="00146B86">
            <w:pPr>
              <w:spacing w:after="0" w:line="360" w:lineRule="auto"/>
              <w:rPr>
                <w:rFonts w:ascii="Book Antiqua" w:hAnsi="Book Antiqua" w:cstheme="minorHAnsi"/>
                <w:sz w:val="16"/>
                <w:szCs w:val="24"/>
              </w:rPr>
            </w:pPr>
            <w:r w:rsidRPr="0091531E">
              <w:rPr>
                <w:rFonts w:ascii="Book Antiqua" w:hAnsi="Book Antiqua" w:cstheme="minorHAnsi"/>
                <w:sz w:val="16"/>
                <w:szCs w:val="24"/>
              </w:rPr>
              <w:t>Not specified.</w:t>
            </w:r>
          </w:p>
        </w:tc>
        <w:tc>
          <w:tcPr>
            <w:tcW w:w="0" w:type="auto"/>
            <w:hideMark/>
          </w:tcPr>
          <w:p w14:paraId="7393867C" w14:textId="77777777" w:rsidR="005061A1" w:rsidRPr="0091531E"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Diagnosis of fistula origin attained by computed tomography scan or fistulography when necessary; not mentioned for closure confirmation. (Location: Methods and Materials section, page 304: "The diagnosis of fistula origin was attained, when necessary, by computed tomography scan or fistulography (Table 1).")</w:t>
            </w:r>
          </w:p>
        </w:tc>
        <w:tc>
          <w:tcPr>
            <w:tcW w:w="0" w:type="auto"/>
            <w:hideMark/>
          </w:tcPr>
          <w:p w14:paraId="7D9B4186" w14:textId="77777777" w:rsidR="005061A1" w:rsidRPr="0091531E"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Lacks specific closure criteria, contributing to heterogeneity; imaging used for origin, not closure.</w:t>
            </w:r>
          </w:p>
        </w:tc>
      </w:tr>
      <w:tr w:rsidR="005061A1" w:rsidRPr="009571E5" w14:paraId="7B6B4255" w14:textId="77777777" w:rsidTr="00E23EC3">
        <w:trPr>
          <w:tblHeader/>
          <w:tblCellSpacing w:w="15" w:type="dxa"/>
        </w:trPr>
        <w:tc>
          <w:tcPr>
            <w:tcW w:w="0" w:type="auto"/>
            <w:hideMark/>
          </w:tcPr>
          <w:p w14:paraId="19CF16B7" w14:textId="77777777" w:rsidR="005061A1" w:rsidRPr="0091531E" w:rsidRDefault="005061A1" w:rsidP="00146B86">
            <w:pPr>
              <w:spacing w:after="0" w:line="360" w:lineRule="auto"/>
              <w:rPr>
                <w:rFonts w:ascii="Book Antiqua" w:hAnsi="Book Antiqua" w:cstheme="minorHAnsi"/>
                <w:sz w:val="16"/>
                <w:szCs w:val="24"/>
              </w:rPr>
            </w:pPr>
            <w:r w:rsidRPr="0091531E">
              <w:rPr>
                <w:rFonts w:ascii="Book Antiqua" w:hAnsi="Book Antiqua" w:cstheme="minorHAnsi"/>
                <w:sz w:val="16"/>
                <w:szCs w:val="24"/>
              </w:rPr>
              <w:t>Jamil 2004</w:t>
            </w:r>
            <w:r w:rsidR="00370198" w:rsidRPr="0091531E">
              <w:rPr>
                <w:rFonts w:ascii="Book Antiqua" w:hAnsi="Book Antiqua" w:cstheme="minorHAnsi"/>
                <w:sz w:val="16"/>
                <w:szCs w:val="24"/>
              </w:rPr>
              <w:t>[23]</w:t>
            </w:r>
          </w:p>
        </w:tc>
        <w:tc>
          <w:tcPr>
            <w:tcW w:w="0" w:type="auto"/>
            <w:hideMark/>
          </w:tcPr>
          <w:p w14:paraId="1D5B96E0" w14:textId="77777777" w:rsidR="005061A1"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Fistula considered healed when its secretions ceased and remained nil for three months. (Location: Patients and Methods section, page 238: "Fistula considered healed when its secretions ceased and remained nil for three months.")</w:t>
            </w:r>
          </w:p>
          <w:p w14:paraId="38A7370F" w14:textId="77777777" w:rsidR="00482544" w:rsidRPr="0091531E" w:rsidRDefault="00482544" w:rsidP="00146B86">
            <w:pPr>
              <w:spacing w:after="0" w:line="360" w:lineRule="auto"/>
              <w:rPr>
                <w:rFonts w:ascii="Book Antiqua" w:hAnsi="Book Antiqua" w:cstheme="minorHAnsi"/>
                <w:sz w:val="16"/>
                <w:szCs w:val="24"/>
                <w:lang w:val="en-US"/>
              </w:rPr>
            </w:pPr>
          </w:p>
        </w:tc>
        <w:tc>
          <w:tcPr>
            <w:tcW w:w="0" w:type="auto"/>
            <w:hideMark/>
          </w:tcPr>
          <w:p w14:paraId="01F8065B" w14:textId="77777777" w:rsidR="005061A1" w:rsidRPr="0091531E"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Zero output (duration not specified, but nil for 3 months).</w:t>
            </w:r>
          </w:p>
        </w:tc>
        <w:tc>
          <w:tcPr>
            <w:tcW w:w="0" w:type="auto"/>
            <w:hideMark/>
          </w:tcPr>
          <w:p w14:paraId="2318849D" w14:textId="77777777" w:rsidR="005061A1" w:rsidRPr="0091531E" w:rsidRDefault="005061A1" w:rsidP="00146B86">
            <w:pPr>
              <w:spacing w:after="0" w:line="360" w:lineRule="auto"/>
              <w:rPr>
                <w:rFonts w:ascii="Book Antiqua" w:hAnsi="Book Antiqua" w:cstheme="minorHAnsi"/>
                <w:sz w:val="16"/>
                <w:szCs w:val="24"/>
              </w:rPr>
            </w:pPr>
            <w:r w:rsidRPr="0091531E">
              <w:rPr>
                <w:rFonts w:ascii="Book Antiqua" w:hAnsi="Book Antiqua" w:cstheme="minorHAnsi"/>
                <w:sz w:val="16"/>
                <w:szCs w:val="24"/>
              </w:rPr>
              <w:t>Not mentioned; primarily clinical.</w:t>
            </w:r>
          </w:p>
        </w:tc>
        <w:tc>
          <w:tcPr>
            <w:tcW w:w="0" w:type="auto"/>
            <w:hideMark/>
          </w:tcPr>
          <w:p w14:paraId="7EA42D50" w14:textId="77777777" w:rsidR="005061A1" w:rsidRPr="0091531E"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Long-term confirmation (3 months) without threshold or imaging, increasing heterogeneity.</w:t>
            </w:r>
          </w:p>
        </w:tc>
      </w:tr>
      <w:tr w:rsidR="005061A1" w:rsidRPr="009571E5" w14:paraId="5C312639" w14:textId="77777777" w:rsidTr="00E23EC3">
        <w:trPr>
          <w:tblHeader/>
          <w:tblCellSpacing w:w="15" w:type="dxa"/>
        </w:trPr>
        <w:tc>
          <w:tcPr>
            <w:tcW w:w="0" w:type="auto"/>
            <w:hideMark/>
          </w:tcPr>
          <w:p w14:paraId="5CDCA2D9" w14:textId="77777777" w:rsidR="005061A1" w:rsidRPr="0091531E" w:rsidRDefault="005061A1" w:rsidP="00176647">
            <w:pPr>
              <w:spacing w:after="0" w:line="360" w:lineRule="auto"/>
              <w:rPr>
                <w:rFonts w:ascii="Book Antiqua" w:hAnsi="Book Antiqua" w:cstheme="minorHAnsi"/>
                <w:sz w:val="16"/>
                <w:szCs w:val="24"/>
              </w:rPr>
            </w:pPr>
            <w:r w:rsidRPr="0091531E">
              <w:rPr>
                <w:rFonts w:ascii="Book Antiqua" w:hAnsi="Book Antiqua" w:cstheme="minorHAnsi"/>
                <w:sz w:val="16"/>
                <w:szCs w:val="24"/>
              </w:rPr>
              <w:t>Gayral 2009</w:t>
            </w:r>
            <w:r w:rsidR="00370198" w:rsidRPr="0091531E">
              <w:rPr>
                <w:rFonts w:ascii="Book Antiqua" w:hAnsi="Book Antiqua" w:cstheme="minorHAnsi"/>
                <w:sz w:val="16"/>
                <w:szCs w:val="24"/>
              </w:rPr>
              <w:t>[</w:t>
            </w:r>
            <w:r w:rsidR="00176647" w:rsidRPr="0091531E">
              <w:rPr>
                <w:rFonts w:ascii="Book Antiqua" w:hAnsi="Book Antiqua" w:cstheme="minorHAnsi"/>
                <w:sz w:val="16"/>
                <w:szCs w:val="24"/>
              </w:rPr>
              <w:t>7</w:t>
            </w:r>
            <w:r w:rsidR="00370198" w:rsidRPr="0091531E">
              <w:rPr>
                <w:rFonts w:ascii="Book Antiqua" w:hAnsi="Book Antiqua" w:cstheme="minorHAnsi"/>
                <w:sz w:val="16"/>
                <w:szCs w:val="24"/>
              </w:rPr>
              <w:t>]</w:t>
            </w:r>
          </w:p>
        </w:tc>
        <w:tc>
          <w:tcPr>
            <w:tcW w:w="0" w:type="auto"/>
            <w:hideMark/>
          </w:tcPr>
          <w:p w14:paraId="6E9E0CA6" w14:textId="15B68373" w:rsidR="005061A1"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Output of less than 15 mL for 24 hours without any recurrence within the next 10 days, and confirmation 30 days later. (Location: "Fistula closure was defined as an output of less than 15 mL for 24 hours without any recurrence within the next 10 days, and confirmation 30 days later.")</w:t>
            </w:r>
          </w:p>
          <w:p w14:paraId="1760554C" w14:textId="77777777" w:rsidR="00482544" w:rsidRPr="0091531E" w:rsidRDefault="00482544" w:rsidP="00146B86">
            <w:pPr>
              <w:spacing w:after="0" w:line="360" w:lineRule="auto"/>
              <w:rPr>
                <w:rFonts w:ascii="Book Antiqua" w:hAnsi="Book Antiqua" w:cstheme="minorHAnsi"/>
                <w:sz w:val="16"/>
                <w:szCs w:val="24"/>
                <w:lang w:val="en-US"/>
              </w:rPr>
            </w:pPr>
          </w:p>
        </w:tc>
        <w:tc>
          <w:tcPr>
            <w:tcW w:w="0" w:type="auto"/>
            <w:hideMark/>
          </w:tcPr>
          <w:p w14:paraId="65B4FEC0" w14:textId="77777777" w:rsidR="005061A1" w:rsidRPr="0091531E" w:rsidRDefault="005061A1" w:rsidP="00146B86">
            <w:pPr>
              <w:spacing w:after="0" w:line="360" w:lineRule="auto"/>
              <w:rPr>
                <w:rFonts w:ascii="Book Antiqua" w:hAnsi="Book Antiqua" w:cstheme="minorHAnsi"/>
                <w:sz w:val="16"/>
                <w:szCs w:val="24"/>
              </w:rPr>
            </w:pPr>
            <w:r w:rsidRPr="0091531E">
              <w:rPr>
                <w:rFonts w:ascii="Book Antiqua" w:hAnsi="Book Antiqua" w:cstheme="minorHAnsi"/>
                <w:sz w:val="16"/>
                <w:szCs w:val="24"/>
              </w:rPr>
              <w:t>&lt;15 mL for 24 hours.</w:t>
            </w:r>
          </w:p>
        </w:tc>
        <w:tc>
          <w:tcPr>
            <w:tcW w:w="0" w:type="auto"/>
            <w:hideMark/>
          </w:tcPr>
          <w:p w14:paraId="6B9E0A27" w14:textId="77777777" w:rsidR="005061A1" w:rsidRPr="0091531E"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Not mentioned for closure; clinical assessment with recurrence check and later confirmation.</w:t>
            </w:r>
          </w:p>
        </w:tc>
        <w:tc>
          <w:tcPr>
            <w:tcW w:w="0" w:type="auto"/>
            <w:hideMark/>
          </w:tcPr>
          <w:p w14:paraId="28F8646B" w14:textId="77777777" w:rsidR="005061A1" w:rsidRPr="0091531E"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Low output threshold with recurrence verification over 10 days and 30-day confirmation, differing from zero-output or imaging-based definitions.</w:t>
            </w:r>
          </w:p>
        </w:tc>
      </w:tr>
      <w:tr w:rsidR="005061A1" w:rsidRPr="009571E5" w14:paraId="57CE1E0A" w14:textId="77777777" w:rsidTr="0048372D">
        <w:trPr>
          <w:tblHeader/>
          <w:tblCellSpacing w:w="15" w:type="dxa"/>
        </w:trPr>
        <w:tc>
          <w:tcPr>
            <w:tcW w:w="0" w:type="auto"/>
            <w:hideMark/>
          </w:tcPr>
          <w:p w14:paraId="6494523D" w14:textId="77777777" w:rsidR="005061A1" w:rsidRPr="0091531E" w:rsidRDefault="005061A1" w:rsidP="00146B86">
            <w:pPr>
              <w:spacing w:after="0" w:line="360" w:lineRule="auto"/>
              <w:rPr>
                <w:rFonts w:ascii="Book Antiqua" w:hAnsi="Book Antiqua" w:cstheme="minorHAnsi"/>
                <w:sz w:val="16"/>
                <w:szCs w:val="24"/>
              </w:rPr>
            </w:pPr>
            <w:r w:rsidRPr="0091531E">
              <w:rPr>
                <w:rFonts w:ascii="Book Antiqua" w:hAnsi="Book Antiqua" w:cstheme="minorHAnsi"/>
                <w:sz w:val="16"/>
                <w:szCs w:val="24"/>
              </w:rPr>
              <w:lastRenderedPageBreak/>
              <w:t>Timmer 2024</w:t>
            </w:r>
            <w:r w:rsidR="00176647" w:rsidRPr="0091531E">
              <w:rPr>
                <w:rFonts w:ascii="Book Antiqua" w:hAnsi="Book Antiqua" w:cstheme="minorHAnsi"/>
                <w:sz w:val="16"/>
                <w:szCs w:val="24"/>
              </w:rPr>
              <w:t>[24]</w:t>
            </w:r>
          </w:p>
        </w:tc>
        <w:tc>
          <w:tcPr>
            <w:tcW w:w="0" w:type="auto"/>
            <w:hideMark/>
          </w:tcPr>
          <w:p w14:paraId="2923DFD4" w14:textId="77777777" w:rsidR="005061A1" w:rsidRPr="0091531E"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Not explicitly defined in the provided excerpts; study focuses on output reduction rather than closure. (Location: Abstract and Background, pages 727-728: Primary outcome is responders with output reduction ≥25%; no mention of closure criteria in excerpts.)</w:t>
            </w:r>
          </w:p>
        </w:tc>
        <w:tc>
          <w:tcPr>
            <w:tcW w:w="0" w:type="auto"/>
            <w:hideMark/>
          </w:tcPr>
          <w:p w14:paraId="604E908B" w14:textId="77777777" w:rsidR="005061A1" w:rsidRPr="0091531E"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Not applicable (focus on reduction, not closure).</w:t>
            </w:r>
          </w:p>
        </w:tc>
        <w:tc>
          <w:tcPr>
            <w:tcW w:w="0" w:type="auto"/>
            <w:hideMark/>
          </w:tcPr>
          <w:p w14:paraId="410C1E1B" w14:textId="77777777" w:rsidR="005061A1" w:rsidRPr="0091531E" w:rsidRDefault="005061A1" w:rsidP="00146B86">
            <w:pPr>
              <w:spacing w:after="0" w:line="360" w:lineRule="auto"/>
              <w:rPr>
                <w:rFonts w:ascii="Book Antiqua" w:hAnsi="Book Antiqua" w:cstheme="minorHAnsi"/>
                <w:sz w:val="16"/>
                <w:szCs w:val="24"/>
              </w:rPr>
            </w:pPr>
            <w:r w:rsidRPr="0091531E">
              <w:rPr>
                <w:rFonts w:ascii="Book Antiqua" w:hAnsi="Book Antiqua" w:cstheme="minorHAnsi"/>
                <w:sz w:val="16"/>
                <w:szCs w:val="24"/>
              </w:rPr>
              <w:t>Not mentioned in excerpts.</w:t>
            </w:r>
          </w:p>
        </w:tc>
        <w:tc>
          <w:tcPr>
            <w:tcW w:w="0" w:type="auto"/>
            <w:hideMark/>
          </w:tcPr>
          <w:p w14:paraId="08EBC415" w14:textId="77777777" w:rsidR="005061A1" w:rsidRPr="0091531E" w:rsidRDefault="005061A1" w:rsidP="00146B86">
            <w:pPr>
              <w:spacing w:after="0" w:line="360" w:lineRule="auto"/>
              <w:rPr>
                <w:rFonts w:ascii="Book Antiqua" w:hAnsi="Book Antiqua" w:cstheme="minorHAnsi"/>
                <w:sz w:val="16"/>
                <w:szCs w:val="24"/>
                <w:lang w:val="en-US"/>
              </w:rPr>
            </w:pPr>
            <w:r w:rsidRPr="0091531E">
              <w:rPr>
                <w:rFonts w:ascii="Book Antiqua" w:hAnsi="Book Antiqua" w:cstheme="minorHAnsi"/>
                <w:sz w:val="16"/>
                <w:szCs w:val="24"/>
                <w:lang w:val="en-US"/>
              </w:rPr>
              <w:t>Study emphasizes output reduction, not closure; limited excerpt information may miss closure criteria, contributing to heterogeneity.</w:t>
            </w:r>
          </w:p>
        </w:tc>
      </w:tr>
    </w:tbl>
    <w:p w14:paraId="19633941" w14:textId="77777777" w:rsidR="005061A1" w:rsidRPr="005061A1" w:rsidRDefault="005061A1" w:rsidP="005061A1">
      <w:pPr>
        <w:spacing w:after="0" w:line="360" w:lineRule="auto"/>
        <w:rPr>
          <w:rFonts w:ascii="Book Antiqua" w:hAnsi="Book Antiqua" w:cstheme="minorHAnsi"/>
          <w:sz w:val="24"/>
          <w:szCs w:val="24"/>
          <w:lang w:val="en-US"/>
        </w:rPr>
      </w:pPr>
    </w:p>
    <w:p w14:paraId="265EFBDC" w14:textId="77777777" w:rsidR="0091531E" w:rsidRDefault="0091531E" w:rsidP="007C74D8">
      <w:pPr>
        <w:spacing w:after="0" w:line="360" w:lineRule="auto"/>
        <w:ind w:left="567"/>
        <w:rPr>
          <w:rFonts w:ascii="Book Antiqua" w:hAnsi="Book Antiqua" w:cstheme="minorHAnsi"/>
          <w:sz w:val="24"/>
          <w:szCs w:val="24"/>
          <w:lang w:val="en-US"/>
        </w:rPr>
      </w:pPr>
    </w:p>
    <w:p w14:paraId="24F0F9CB" w14:textId="0277FC90" w:rsidR="00356CED" w:rsidRPr="008A48F2" w:rsidRDefault="00161F91" w:rsidP="00356CED">
      <w:pPr>
        <w:spacing w:after="0" w:line="360" w:lineRule="auto"/>
        <w:ind w:left="-1134" w:firstLine="1134"/>
        <w:rPr>
          <w:rFonts w:ascii="Book Antiqua" w:hAnsi="Book Antiqua" w:cstheme="minorHAnsi"/>
          <w:b/>
          <w:bCs/>
          <w:sz w:val="24"/>
          <w:szCs w:val="24"/>
          <w:lang w:val="en-US"/>
        </w:rPr>
      </w:pPr>
      <w:r>
        <w:rPr>
          <w:rFonts w:ascii="Book Antiqua" w:eastAsia="Times New Roman" w:hAnsi="Book Antiqua" w:cstheme="minorHAnsi"/>
          <w:b/>
          <w:sz w:val="24"/>
          <w:szCs w:val="24"/>
          <w:lang w:val="en-US"/>
        </w:rPr>
        <w:t xml:space="preserve">Supplementary Table </w:t>
      </w:r>
      <w:r w:rsidR="005061A1">
        <w:rPr>
          <w:rFonts w:ascii="Book Antiqua" w:eastAsia="Times New Roman" w:hAnsi="Book Antiqua" w:cstheme="minorHAnsi"/>
          <w:b/>
          <w:sz w:val="24"/>
          <w:szCs w:val="24"/>
          <w:lang w:val="en-US"/>
        </w:rPr>
        <w:t>2</w:t>
      </w:r>
      <w:r w:rsidR="00356CED" w:rsidRPr="008A48F2">
        <w:rPr>
          <w:rFonts w:ascii="Book Antiqua" w:eastAsia="Times New Roman" w:hAnsi="Book Antiqua" w:cstheme="minorHAnsi"/>
          <w:b/>
          <w:sz w:val="24"/>
          <w:szCs w:val="24"/>
          <w:lang w:val="en-US"/>
        </w:rPr>
        <w:t xml:space="preserve"> Risk of </w:t>
      </w:r>
      <w:r w:rsidRPr="008A48F2">
        <w:rPr>
          <w:rFonts w:ascii="Book Antiqua" w:eastAsia="Times New Roman" w:hAnsi="Book Antiqua" w:cstheme="minorHAnsi"/>
          <w:b/>
          <w:sz w:val="24"/>
          <w:szCs w:val="24"/>
          <w:lang w:val="en-US"/>
        </w:rPr>
        <w:t>bias assessment</w:t>
      </w:r>
    </w:p>
    <w:tbl>
      <w:tblPr>
        <w:tblStyle w:val="a3"/>
        <w:tblW w:w="14317" w:type="dxa"/>
        <w:tblLayout w:type="fixed"/>
        <w:tblLook w:val="04A0" w:firstRow="1" w:lastRow="0" w:firstColumn="1" w:lastColumn="0" w:noHBand="0" w:noVBand="1"/>
      </w:tblPr>
      <w:tblGrid>
        <w:gridCol w:w="1701"/>
        <w:gridCol w:w="2127"/>
        <w:gridCol w:w="1984"/>
        <w:gridCol w:w="1985"/>
        <w:gridCol w:w="1984"/>
        <w:gridCol w:w="2268"/>
        <w:gridCol w:w="2268"/>
      </w:tblGrid>
      <w:tr w:rsidR="00676C79" w:rsidRPr="008A48F2" w14:paraId="094C4BDE" w14:textId="77777777" w:rsidTr="00676C79">
        <w:trPr>
          <w:trHeight w:val="576"/>
        </w:trPr>
        <w:tc>
          <w:tcPr>
            <w:tcW w:w="1701" w:type="dxa"/>
            <w:tcBorders>
              <w:top w:val="single" w:sz="4" w:space="0" w:color="auto"/>
              <w:left w:val="nil"/>
              <w:bottom w:val="single" w:sz="4" w:space="0" w:color="auto"/>
              <w:right w:val="nil"/>
            </w:tcBorders>
            <w:hideMark/>
          </w:tcPr>
          <w:p w14:paraId="4BABB68A" w14:textId="77777777" w:rsidR="00356CED" w:rsidRPr="00244231" w:rsidRDefault="00356CED" w:rsidP="00997BCF">
            <w:pPr>
              <w:spacing w:line="360" w:lineRule="auto"/>
              <w:ind w:hanging="108"/>
              <w:rPr>
                <w:rFonts w:ascii="Book Antiqua" w:hAnsi="Book Antiqua" w:cstheme="minorHAnsi"/>
                <w:b/>
                <w:bCs/>
                <w:sz w:val="18"/>
                <w:szCs w:val="20"/>
              </w:rPr>
            </w:pPr>
            <w:r w:rsidRPr="00244231">
              <w:rPr>
                <w:rFonts w:ascii="Book Antiqua" w:hAnsi="Book Antiqua" w:cstheme="minorHAnsi"/>
                <w:b/>
                <w:bCs/>
                <w:sz w:val="18"/>
                <w:szCs w:val="20"/>
              </w:rPr>
              <w:t>Author, year of publication</w:t>
            </w:r>
          </w:p>
        </w:tc>
        <w:tc>
          <w:tcPr>
            <w:tcW w:w="2127" w:type="dxa"/>
            <w:tcBorders>
              <w:top w:val="single" w:sz="4" w:space="0" w:color="auto"/>
              <w:left w:val="nil"/>
              <w:bottom w:val="single" w:sz="4" w:space="0" w:color="auto"/>
              <w:right w:val="nil"/>
            </w:tcBorders>
            <w:hideMark/>
          </w:tcPr>
          <w:p w14:paraId="1586A527" w14:textId="77777777" w:rsidR="00356CED" w:rsidRPr="00244231" w:rsidRDefault="00356CED" w:rsidP="00997BCF">
            <w:pPr>
              <w:spacing w:line="360" w:lineRule="auto"/>
              <w:rPr>
                <w:rFonts w:ascii="Book Antiqua" w:hAnsi="Book Antiqua" w:cstheme="minorHAnsi"/>
                <w:b/>
                <w:bCs/>
                <w:sz w:val="18"/>
                <w:szCs w:val="20"/>
              </w:rPr>
            </w:pPr>
            <w:r w:rsidRPr="00244231">
              <w:rPr>
                <w:rFonts w:ascii="Book Antiqua" w:hAnsi="Book Antiqua" w:cstheme="minorHAnsi"/>
                <w:b/>
                <w:bCs/>
                <w:sz w:val="18"/>
                <w:szCs w:val="20"/>
              </w:rPr>
              <w:t>Randomization Process</w:t>
            </w:r>
          </w:p>
        </w:tc>
        <w:tc>
          <w:tcPr>
            <w:tcW w:w="1984" w:type="dxa"/>
            <w:tcBorders>
              <w:top w:val="single" w:sz="4" w:space="0" w:color="auto"/>
              <w:left w:val="nil"/>
              <w:bottom w:val="single" w:sz="4" w:space="0" w:color="auto"/>
              <w:right w:val="nil"/>
            </w:tcBorders>
            <w:hideMark/>
          </w:tcPr>
          <w:p w14:paraId="697A748D" w14:textId="77777777" w:rsidR="00356CED" w:rsidRPr="00244231" w:rsidRDefault="00356CED" w:rsidP="00997BCF">
            <w:pPr>
              <w:spacing w:line="360" w:lineRule="auto"/>
              <w:rPr>
                <w:rFonts w:ascii="Book Antiqua" w:hAnsi="Book Antiqua" w:cstheme="minorHAnsi"/>
                <w:b/>
                <w:bCs/>
                <w:sz w:val="18"/>
                <w:szCs w:val="20"/>
              </w:rPr>
            </w:pPr>
            <w:r w:rsidRPr="00244231">
              <w:rPr>
                <w:rFonts w:ascii="Book Antiqua" w:hAnsi="Book Antiqua" w:cstheme="minorHAnsi"/>
                <w:b/>
                <w:bCs/>
                <w:sz w:val="18"/>
                <w:szCs w:val="20"/>
              </w:rPr>
              <w:t>Deviations from Intended Interventions</w:t>
            </w:r>
          </w:p>
        </w:tc>
        <w:tc>
          <w:tcPr>
            <w:tcW w:w="1985" w:type="dxa"/>
            <w:tcBorders>
              <w:top w:val="single" w:sz="4" w:space="0" w:color="auto"/>
              <w:left w:val="nil"/>
              <w:bottom w:val="single" w:sz="4" w:space="0" w:color="auto"/>
              <w:right w:val="nil"/>
            </w:tcBorders>
            <w:hideMark/>
          </w:tcPr>
          <w:p w14:paraId="19D62595" w14:textId="77777777" w:rsidR="00356CED" w:rsidRPr="00244231" w:rsidRDefault="00356CED" w:rsidP="00997BCF">
            <w:pPr>
              <w:spacing w:line="360" w:lineRule="auto"/>
              <w:rPr>
                <w:rFonts w:ascii="Book Antiqua" w:hAnsi="Book Antiqua" w:cstheme="minorHAnsi"/>
                <w:b/>
                <w:bCs/>
                <w:sz w:val="18"/>
                <w:szCs w:val="20"/>
              </w:rPr>
            </w:pPr>
            <w:r w:rsidRPr="00244231">
              <w:rPr>
                <w:rFonts w:ascii="Book Antiqua" w:hAnsi="Book Antiqua" w:cstheme="minorHAnsi"/>
                <w:b/>
                <w:bCs/>
                <w:sz w:val="18"/>
                <w:szCs w:val="20"/>
              </w:rPr>
              <w:t>Missing Outcome Data</w:t>
            </w:r>
          </w:p>
        </w:tc>
        <w:tc>
          <w:tcPr>
            <w:tcW w:w="1984" w:type="dxa"/>
            <w:tcBorders>
              <w:top w:val="single" w:sz="4" w:space="0" w:color="auto"/>
              <w:left w:val="nil"/>
              <w:bottom w:val="single" w:sz="4" w:space="0" w:color="auto"/>
              <w:right w:val="nil"/>
            </w:tcBorders>
            <w:hideMark/>
          </w:tcPr>
          <w:p w14:paraId="476C8F3C" w14:textId="77777777" w:rsidR="00356CED" w:rsidRPr="00244231" w:rsidRDefault="00356CED" w:rsidP="00997BCF">
            <w:pPr>
              <w:spacing w:line="360" w:lineRule="auto"/>
              <w:rPr>
                <w:rFonts w:ascii="Book Antiqua" w:hAnsi="Book Antiqua" w:cstheme="minorHAnsi"/>
                <w:b/>
                <w:bCs/>
                <w:sz w:val="18"/>
                <w:szCs w:val="20"/>
              </w:rPr>
            </w:pPr>
            <w:r w:rsidRPr="00244231">
              <w:rPr>
                <w:rFonts w:ascii="Book Antiqua" w:hAnsi="Book Antiqua" w:cstheme="minorHAnsi"/>
                <w:b/>
                <w:bCs/>
                <w:sz w:val="18"/>
                <w:szCs w:val="20"/>
              </w:rPr>
              <w:t>Measurement of Outcome</w:t>
            </w:r>
          </w:p>
        </w:tc>
        <w:tc>
          <w:tcPr>
            <w:tcW w:w="2268" w:type="dxa"/>
            <w:tcBorders>
              <w:top w:val="single" w:sz="4" w:space="0" w:color="auto"/>
              <w:left w:val="nil"/>
              <w:bottom w:val="single" w:sz="4" w:space="0" w:color="auto"/>
              <w:right w:val="nil"/>
            </w:tcBorders>
            <w:hideMark/>
          </w:tcPr>
          <w:p w14:paraId="2ABFBCED" w14:textId="77777777" w:rsidR="00356CED" w:rsidRPr="00244231" w:rsidRDefault="00356CED" w:rsidP="00997BCF">
            <w:pPr>
              <w:spacing w:line="360" w:lineRule="auto"/>
              <w:rPr>
                <w:rFonts w:ascii="Book Antiqua" w:hAnsi="Book Antiqua" w:cstheme="minorHAnsi"/>
                <w:b/>
                <w:bCs/>
                <w:sz w:val="18"/>
                <w:szCs w:val="20"/>
              </w:rPr>
            </w:pPr>
            <w:r w:rsidRPr="00244231">
              <w:rPr>
                <w:rFonts w:ascii="Book Antiqua" w:hAnsi="Book Antiqua" w:cstheme="minorHAnsi"/>
                <w:b/>
                <w:bCs/>
                <w:sz w:val="18"/>
                <w:szCs w:val="20"/>
              </w:rPr>
              <w:t>Selection of Reported Result</w:t>
            </w:r>
          </w:p>
        </w:tc>
        <w:tc>
          <w:tcPr>
            <w:tcW w:w="2268" w:type="dxa"/>
            <w:tcBorders>
              <w:top w:val="single" w:sz="4" w:space="0" w:color="auto"/>
              <w:left w:val="nil"/>
              <w:bottom w:val="single" w:sz="4" w:space="0" w:color="auto"/>
              <w:right w:val="nil"/>
            </w:tcBorders>
            <w:hideMark/>
          </w:tcPr>
          <w:p w14:paraId="18BF988E" w14:textId="77777777" w:rsidR="00356CED" w:rsidRPr="00244231" w:rsidRDefault="00356CED" w:rsidP="00997BCF">
            <w:pPr>
              <w:spacing w:line="360" w:lineRule="auto"/>
              <w:rPr>
                <w:rFonts w:ascii="Book Antiqua" w:hAnsi="Book Antiqua" w:cstheme="minorHAnsi"/>
                <w:b/>
                <w:bCs/>
                <w:sz w:val="18"/>
                <w:szCs w:val="20"/>
              </w:rPr>
            </w:pPr>
            <w:r w:rsidRPr="00244231">
              <w:rPr>
                <w:rFonts w:ascii="Book Antiqua" w:hAnsi="Book Antiqua" w:cstheme="minorHAnsi"/>
                <w:b/>
                <w:bCs/>
                <w:sz w:val="18"/>
                <w:szCs w:val="20"/>
              </w:rPr>
              <w:t>Other Bias</w:t>
            </w:r>
          </w:p>
        </w:tc>
      </w:tr>
      <w:tr w:rsidR="00676C79" w:rsidRPr="009571E5" w14:paraId="42B98091" w14:textId="77777777" w:rsidTr="00676C79">
        <w:trPr>
          <w:trHeight w:val="2016"/>
        </w:trPr>
        <w:tc>
          <w:tcPr>
            <w:tcW w:w="1701" w:type="dxa"/>
            <w:tcBorders>
              <w:top w:val="single" w:sz="4" w:space="0" w:color="auto"/>
              <w:left w:val="nil"/>
              <w:bottom w:val="nil"/>
              <w:right w:val="nil"/>
            </w:tcBorders>
            <w:hideMark/>
          </w:tcPr>
          <w:p w14:paraId="4F0733AD" w14:textId="77777777" w:rsidR="00356CED" w:rsidRPr="00244231" w:rsidRDefault="00356CED" w:rsidP="00997BCF">
            <w:pPr>
              <w:spacing w:line="360" w:lineRule="auto"/>
              <w:ind w:hanging="108"/>
              <w:rPr>
                <w:rFonts w:ascii="Book Antiqua" w:hAnsi="Book Antiqua" w:cstheme="minorHAnsi"/>
                <w:b/>
                <w:bCs/>
                <w:sz w:val="18"/>
                <w:szCs w:val="20"/>
              </w:rPr>
            </w:pPr>
            <w:r w:rsidRPr="00244231">
              <w:rPr>
                <w:rFonts w:ascii="Book Antiqua" w:hAnsi="Book Antiqua" w:cstheme="minorHAnsi"/>
                <w:b/>
                <w:bCs/>
                <w:sz w:val="18"/>
                <w:szCs w:val="20"/>
              </w:rPr>
              <w:t>Torres 1992</w:t>
            </w:r>
            <w:r>
              <w:rPr>
                <w:rFonts w:ascii="Book Antiqua" w:hAnsi="Book Antiqua" w:cstheme="minorHAnsi"/>
                <w:b/>
                <w:bCs/>
                <w:sz w:val="18"/>
                <w:szCs w:val="20"/>
              </w:rPr>
              <w:fldChar w:fldCharType="begin"/>
            </w:r>
            <w:r>
              <w:rPr>
                <w:rFonts w:ascii="Book Antiqua" w:hAnsi="Book Antiqua" w:cstheme="minorHAnsi"/>
                <w:b/>
                <w:bCs/>
                <w:sz w:val="18"/>
                <w:szCs w:val="20"/>
              </w:rPr>
              <w:instrText xml:space="preserve"> ADDIN ZOTERO_ITEM CSL_CITATION {"citationID":"1Vlc9r4S","properties":{"formattedCitation":"[1]","plainCitation":"[1]","noteIndex":0},"citationItems":[{"id":1358,"uris":["http://zotero.org/users/16433235/items/FE9WEJ98"],"itemData":{"id":1358,"type":"article-journal","abstract":"To evaluate the effectiveness of treatment with total parenteral nutrition (TPN) alone (group A) or combined with continuous intravenous infusion of somatostatin (group B) in postoperative gastrointestinal fistulas, a multicenter, controlled and prospective randomized trial was designed. We present the results obtained after the evaluation of 40 cases (group A, n = 20; group B, n = 20). No significant differences among these treatment schedules were observed in the percentage of closure of fistulas (group A, 81.25%; group B, 85%), but patients treated with total parenteral nutrition plus somatostatin had the fistulas close within a significantly shorter period of time. Moreover, this treatment was associated with a significantly lower morbidity. These preliminary results indicate that somatostatin is a useful therapeutic complement in the conservative treatment of patients with gastrointestinal fistulas.","container-title":"Archives of Surgery (Chicago, Ill.: 1960)","DOI":"10.1001/archsurg.1992.01420010115018","ISSN":"0004-0010","issue":"1","journalAbbreviation":"Arch Surg","language":"eng","note":"PMID: 1346491","page":"97-99; discussion 100","source":"PubMed","title":"Somatostatin in the management of gastrointestinal fistulas. A multicenter trial","volume":"127","author":[{"family":"Torres","given":"A. J."},{"family":"Landa","given":"J. I."},{"family":"Moreno-Azcoita","given":"M."},{"family":"Argüello","given":"J. M."},{"family":"Silecchia","given":"G."},{"family":"Castro","given":"J."},{"family":"Hernandez-Merlo","given":"F."},{"family":"Jover","given":"J. M."},{"family":"Moreno-Gonzales","given":"E."},{"family":"Balibrea","given":"J. L."}],"issued":{"date-parts":[["1992",1]]}}}],"schema":"https://github.com/citation-style-language/schema/raw/master/csl-citation.json"} </w:instrText>
            </w:r>
            <w:r>
              <w:rPr>
                <w:rFonts w:ascii="Book Antiqua" w:hAnsi="Book Antiqua" w:cstheme="minorHAnsi"/>
                <w:b/>
                <w:bCs/>
                <w:sz w:val="18"/>
                <w:szCs w:val="20"/>
              </w:rPr>
              <w:fldChar w:fldCharType="separate"/>
            </w:r>
            <w:r w:rsidRPr="00E26729">
              <w:rPr>
                <w:rFonts w:ascii="Book Antiqua" w:hAnsi="Book Antiqua"/>
                <w:sz w:val="18"/>
              </w:rPr>
              <w:t>[1]</w:t>
            </w:r>
            <w:r>
              <w:rPr>
                <w:rFonts w:ascii="Book Antiqua" w:hAnsi="Book Antiqua" w:cstheme="minorHAnsi"/>
                <w:b/>
                <w:bCs/>
                <w:sz w:val="18"/>
                <w:szCs w:val="20"/>
              </w:rPr>
              <w:fldChar w:fldCharType="end"/>
            </w:r>
          </w:p>
        </w:tc>
        <w:tc>
          <w:tcPr>
            <w:tcW w:w="2127" w:type="dxa"/>
            <w:tcBorders>
              <w:top w:val="single" w:sz="4" w:space="0" w:color="auto"/>
              <w:left w:val="nil"/>
              <w:bottom w:val="nil"/>
              <w:right w:val="nil"/>
            </w:tcBorders>
            <w:hideMark/>
          </w:tcPr>
          <w:p w14:paraId="32A1583D" w14:textId="77777777" w:rsidR="00356CED" w:rsidRDefault="00356CED" w:rsidP="00997BCF">
            <w:pPr>
              <w:spacing w:line="360" w:lineRule="auto"/>
              <w:rPr>
                <w:rFonts w:ascii="Book Antiqua" w:hAnsi="Book Antiqua" w:cstheme="minorHAnsi"/>
                <w:sz w:val="18"/>
                <w:szCs w:val="20"/>
              </w:rPr>
            </w:pPr>
            <w:r w:rsidRPr="00244231">
              <w:rPr>
                <w:rFonts w:ascii="Book Antiqua" w:hAnsi="Book Antiqua" w:cstheme="minorHAnsi"/>
                <w:sz w:val="18"/>
                <w:szCs w:val="20"/>
                <w:lang w:val="en-US"/>
              </w:rPr>
              <w:t xml:space="preserve">High risk: The article does not specify how the randomization sequence was generated or concealed. </w:t>
            </w:r>
            <w:r w:rsidRPr="00244231">
              <w:rPr>
                <w:rFonts w:ascii="Book Antiqua" w:hAnsi="Book Antiqua" w:cstheme="minorHAnsi"/>
                <w:sz w:val="18"/>
                <w:szCs w:val="20"/>
              </w:rPr>
              <w:t>Baseline imbalance between groups is not addressed.</w:t>
            </w:r>
          </w:p>
          <w:p w14:paraId="62565E3E" w14:textId="77777777" w:rsidR="003E3245" w:rsidRPr="00244231" w:rsidRDefault="003E3245" w:rsidP="00997BCF">
            <w:pPr>
              <w:spacing w:line="360" w:lineRule="auto"/>
              <w:rPr>
                <w:rFonts w:ascii="Book Antiqua" w:hAnsi="Book Antiqua" w:cstheme="minorHAnsi"/>
                <w:sz w:val="18"/>
                <w:szCs w:val="20"/>
              </w:rPr>
            </w:pPr>
          </w:p>
        </w:tc>
        <w:tc>
          <w:tcPr>
            <w:tcW w:w="1984" w:type="dxa"/>
            <w:tcBorders>
              <w:top w:val="single" w:sz="4" w:space="0" w:color="auto"/>
              <w:left w:val="nil"/>
              <w:bottom w:val="nil"/>
              <w:right w:val="nil"/>
            </w:tcBorders>
            <w:hideMark/>
          </w:tcPr>
          <w:p w14:paraId="266A6E08" w14:textId="77777777" w:rsidR="00356CED" w:rsidRPr="00244231" w:rsidRDefault="00356CED" w:rsidP="00997BCF">
            <w:pPr>
              <w:spacing w:line="360" w:lineRule="auto"/>
              <w:rPr>
                <w:rFonts w:ascii="Book Antiqua" w:hAnsi="Book Antiqua" w:cstheme="minorHAnsi"/>
                <w:sz w:val="18"/>
                <w:szCs w:val="20"/>
              </w:rPr>
            </w:pPr>
            <w:r w:rsidRPr="00244231">
              <w:rPr>
                <w:rFonts w:ascii="Book Antiqua" w:hAnsi="Book Antiqua" w:cstheme="minorHAnsi"/>
                <w:sz w:val="18"/>
                <w:szCs w:val="20"/>
                <w:lang w:val="en-US"/>
              </w:rPr>
              <w:t xml:space="preserve">Some concerns: It is unclear whether participants and personnel were blinded. </w:t>
            </w:r>
            <w:r w:rsidRPr="00244231">
              <w:rPr>
                <w:rFonts w:ascii="Book Antiqua" w:hAnsi="Book Antiqua" w:cstheme="minorHAnsi"/>
                <w:sz w:val="18"/>
                <w:szCs w:val="20"/>
              </w:rPr>
              <w:t>Lack of this information introduces potential performance bias.</w:t>
            </w:r>
          </w:p>
        </w:tc>
        <w:tc>
          <w:tcPr>
            <w:tcW w:w="1985" w:type="dxa"/>
            <w:tcBorders>
              <w:top w:val="single" w:sz="4" w:space="0" w:color="auto"/>
              <w:left w:val="nil"/>
              <w:bottom w:val="nil"/>
              <w:right w:val="nil"/>
            </w:tcBorders>
            <w:hideMark/>
          </w:tcPr>
          <w:p w14:paraId="5C0BE5E6"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Low risk: Most participants completed the trial and data appears complete.</w:t>
            </w:r>
          </w:p>
        </w:tc>
        <w:tc>
          <w:tcPr>
            <w:tcW w:w="1984" w:type="dxa"/>
            <w:tcBorders>
              <w:top w:val="single" w:sz="4" w:space="0" w:color="auto"/>
              <w:left w:val="nil"/>
              <w:bottom w:val="nil"/>
              <w:right w:val="nil"/>
            </w:tcBorders>
            <w:hideMark/>
          </w:tcPr>
          <w:p w14:paraId="4F7F7CD9"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Low risk: Primary outcomes (e.g., fistula closure) are objective and not subject to measurement bias.</w:t>
            </w:r>
          </w:p>
        </w:tc>
        <w:tc>
          <w:tcPr>
            <w:tcW w:w="2268" w:type="dxa"/>
            <w:tcBorders>
              <w:top w:val="single" w:sz="4" w:space="0" w:color="auto"/>
              <w:left w:val="nil"/>
              <w:bottom w:val="nil"/>
              <w:right w:val="nil"/>
            </w:tcBorders>
            <w:hideMark/>
          </w:tcPr>
          <w:p w14:paraId="68E577EE"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High risk: No trial registration or protocol available; potential for selective outcome reporting.</w:t>
            </w:r>
          </w:p>
        </w:tc>
        <w:tc>
          <w:tcPr>
            <w:tcW w:w="2268" w:type="dxa"/>
            <w:tcBorders>
              <w:top w:val="single" w:sz="4" w:space="0" w:color="auto"/>
              <w:left w:val="nil"/>
              <w:bottom w:val="nil"/>
              <w:right w:val="nil"/>
            </w:tcBorders>
            <w:hideMark/>
          </w:tcPr>
          <w:p w14:paraId="4636E344"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High risk – Very small study with unclear funding and reporting structure.</w:t>
            </w:r>
          </w:p>
        </w:tc>
      </w:tr>
      <w:tr w:rsidR="00676C79" w:rsidRPr="009571E5" w14:paraId="123EB0D8" w14:textId="77777777" w:rsidTr="00676C79">
        <w:trPr>
          <w:trHeight w:val="2016"/>
        </w:trPr>
        <w:tc>
          <w:tcPr>
            <w:tcW w:w="1701" w:type="dxa"/>
            <w:tcBorders>
              <w:top w:val="nil"/>
              <w:left w:val="nil"/>
              <w:bottom w:val="nil"/>
              <w:right w:val="nil"/>
            </w:tcBorders>
            <w:hideMark/>
          </w:tcPr>
          <w:p w14:paraId="618624D9" w14:textId="77777777" w:rsidR="00356CED" w:rsidRPr="00244231" w:rsidRDefault="00356CED" w:rsidP="00176647">
            <w:pPr>
              <w:spacing w:line="360" w:lineRule="auto"/>
              <w:ind w:hanging="108"/>
              <w:rPr>
                <w:rFonts w:ascii="Book Antiqua" w:hAnsi="Book Antiqua" w:cstheme="minorHAnsi"/>
                <w:b/>
                <w:bCs/>
                <w:sz w:val="18"/>
                <w:szCs w:val="20"/>
                <w:lang w:val="en-US"/>
              </w:rPr>
            </w:pPr>
            <w:r w:rsidRPr="00244231">
              <w:rPr>
                <w:rFonts w:ascii="Book Antiqua" w:hAnsi="Book Antiqua" w:cstheme="minorHAnsi"/>
                <w:b/>
                <w:bCs/>
                <w:sz w:val="18"/>
                <w:szCs w:val="20"/>
                <w:lang w:val="en-US"/>
              </w:rPr>
              <w:lastRenderedPageBreak/>
              <w:t>Scott 1993</w:t>
            </w:r>
            <w:r w:rsidR="00176647">
              <w:rPr>
                <w:rFonts w:ascii="Book Antiqua" w:hAnsi="Book Antiqua" w:cstheme="minorHAnsi"/>
                <w:b/>
                <w:bCs/>
                <w:sz w:val="18"/>
                <w:szCs w:val="20"/>
                <w:lang w:val="en-US"/>
              </w:rPr>
              <w:t>[19]</w:t>
            </w:r>
          </w:p>
        </w:tc>
        <w:tc>
          <w:tcPr>
            <w:tcW w:w="2127" w:type="dxa"/>
            <w:tcBorders>
              <w:top w:val="nil"/>
              <w:left w:val="nil"/>
              <w:bottom w:val="nil"/>
              <w:right w:val="nil"/>
            </w:tcBorders>
            <w:hideMark/>
          </w:tcPr>
          <w:p w14:paraId="7240816E"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Some concerns: The study was described as double-blind and randomized, but the method of sequence generation and allocation concealment was not reported.</w:t>
            </w:r>
          </w:p>
        </w:tc>
        <w:tc>
          <w:tcPr>
            <w:tcW w:w="1984" w:type="dxa"/>
            <w:tcBorders>
              <w:top w:val="nil"/>
              <w:left w:val="nil"/>
              <w:bottom w:val="nil"/>
              <w:right w:val="nil"/>
            </w:tcBorders>
            <w:hideMark/>
          </w:tcPr>
          <w:p w14:paraId="2FB248AE" w14:textId="5020D8BC" w:rsidR="003E3245" w:rsidRPr="00244231" w:rsidRDefault="00356CED" w:rsidP="00997BCF">
            <w:pPr>
              <w:spacing w:line="360" w:lineRule="auto"/>
              <w:rPr>
                <w:rFonts w:ascii="Book Antiqua" w:hAnsi="Book Antiqua" w:cstheme="minorHAnsi"/>
                <w:sz w:val="18"/>
                <w:szCs w:val="20"/>
              </w:rPr>
            </w:pPr>
            <w:r w:rsidRPr="00244231">
              <w:rPr>
                <w:rFonts w:ascii="Book Antiqua" w:hAnsi="Book Antiqua" w:cstheme="minorHAnsi"/>
                <w:sz w:val="18"/>
                <w:szCs w:val="20"/>
                <w:lang w:val="en-US"/>
              </w:rPr>
              <w:t xml:space="preserve">Low risk: No deviations from intended interventions are reported. </w:t>
            </w:r>
            <w:r w:rsidRPr="00244231">
              <w:rPr>
                <w:rFonts w:ascii="Book Antiqua" w:hAnsi="Book Antiqua" w:cstheme="minorHAnsi"/>
                <w:sz w:val="18"/>
                <w:szCs w:val="20"/>
              </w:rPr>
              <w:t>Patients received the assigned treatment and blinding was maintained.</w:t>
            </w:r>
          </w:p>
        </w:tc>
        <w:tc>
          <w:tcPr>
            <w:tcW w:w="1985" w:type="dxa"/>
            <w:tcBorders>
              <w:top w:val="nil"/>
              <w:left w:val="nil"/>
              <w:bottom w:val="nil"/>
              <w:right w:val="nil"/>
            </w:tcBorders>
            <w:hideMark/>
          </w:tcPr>
          <w:p w14:paraId="659B0E74" w14:textId="77777777" w:rsidR="00356CED" w:rsidRPr="00244231" w:rsidRDefault="00356CED" w:rsidP="00997BCF">
            <w:pPr>
              <w:spacing w:line="360" w:lineRule="auto"/>
              <w:rPr>
                <w:rFonts w:ascii="Book Antiqua" w:hAnsi="Book Antiqua" w:cstheme="minorHAnsi"/>
                <w:sz w:val="18"/>
                <w:szCs w:val="20"/>
              </w:rPr>
            </w:pPr>
            <w:r w:rsidRPr="00244231">
              <w:rPr>
                <w:rFonts w:ascii="Book Antiqua" w:hAnsi="Book Antiqua" w:cstheme="minorHAnsi"/>
                <w:sz w:val="18"/>
                <w:szCs w:val="20"/>
                <w:lang w:val="en-US"/>
              </w:rPr>
              <w:t xml:space="preserve">Low risk: No missing outcome data were reported for the analyzed 19 patients. </w:t>
            </w:r>
            <w:r w:rsidRPr="00244231">
              <w:rPr>
                <w:rFonts w:ascii="Book Antiqua" w:hAnsi="Book Antiqua" w:cstheme="minorHAnsi"/>
                <w:sz w:val="18"/>
                <w:szCs w:val="20"/>
              </w:rPr>
              <w:t>Dropouts and exclusions were clearly explained.</w:t>
            </w:r>
          </w:p>
        </w:tc>
        <w:tc>
          <w:tcPr>
            <w:tcW w:w="1984" w:type="dxa"/>
            <w:tcBorders>
              <w:top w:val="nil"/>
              <w:left w:val="nil"/>
              <w:bottom w:val="nil"/>
              <w:right w:val="nil"/>
            </w:tcBorders>
            <w:hideMark/>
          </w:tcPr>
          <w:p w14:paraId="088670C7"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Low risk: Outcomes (fistula output and closure) were objectively measured and not susceptible to detection bias.</w:t>
            </w:r>
          </w:p>
        </w:tc>
        <w:tc>
          <w:tcPr>
            <w:tcW w:w="2268" w:type="dxa"/>
            <w:tcBorders>
              <w:top w:val="nil"/>
              <w:left w:val="nil"/>
              <w:bottom w:val="nil"/>
              <w:right w:val="nil"/>
            </w:tcBorders>
            <w:hideMark/>
          </w:tcPr>
          <w:p w14:paraId="28A146B4"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Some concerns: No trial registration or protocol was available, raising the possibility of selective outcome reporting.</w:t>
            </w:r>
          </w:p>
        </w:tc>
        <w:tc>
          <w:tcPr>
            <w:tcW w:w="2268" w:type="dxa"/>
            <w:tcBorders>
              <w:top w:val="nil"/>
              <w:left w:val="nil"/>
              <w:bottom w:val="nil"/>
              <w:right w:val="nil"/>
            </w:tcBorders>
            <w:hideMark/>
          </w:tcPr>
          <w:p w14:paraId="4E223B03"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High risk: Very small sample size (n=19 vs. planned 200); underpowered and limited generalizability.</w:t>
            </w:r>
          </w:p>
        </w:tc>
      </w:tr>
      <w:tr w:rsidR="00676C79" w:rsidRPr="009571E5" w14:paraId="6818EB06" w14:textId="77777777" w:rsidTr="00676C79">
        <w:trPr>
          <w:trHeight w:val="2880"/>
        </w:trPr>
        <w:tc>
          <w:tcPr>
            <w:tcW w:w="1701" w:type="dxa"/>
            <w:tcBorders>
              <w:top w:val="nil"/>
              <w:left w:val="nil"/>
              <w:bottom w:val="nil"/>
              <w:right w:val="nil"/>
            </w:tcBorders>
            <w:hideMark/>
          </w:tcPr>
          <w:p w14:paraId="0A12FE47" w14:textId="77777777" w:rsidR="00356CED" w:rsidRPr="00244231" w:rsidRDefault="00356CED" w:rsidP="00997BCF">
            <w:pPr>
              <w:spacing w:line="360" w:lineRule="auto"/>
              <w:ind w:hanging="108"/>
              <w:rPr>
                <w:rFonts w:ascii="Book Antiqua" w:hAnsi="Book Antiqua" w:cstheme="minorHAnsi"/>
                <w:b/>
                <w:bCs/>
                <w:sz w:val="18"/>
                <w:szCs w:val="20"/>
              </w:rPr>
            </w:pPr>
            <w:r w:rsidRPr="00244231">
              <w:rPr>
                <w:rFonts w:ascii="Book Antiqua" w:hAnsi="Book Antiqua" w:cstheme="minorHAnsi"/>
                <w:b/>
                <w:bCs/>
                <w:sz w:val="18"/>
                <w:szCs w:val="20"/>
              </w:rPr>
              <w:t>Isenmann 1994</w:t>
            </w:r>
            <w:r>
              <w:rPr>
                <w:rFonts w:ascii="Book Antiqua" w:hAnsi="Book Antiqua" w:cstheme="minorHAnsi"/>
                <w:b/>
                <w:bCs/>
                <w:sz w:val="18"/>
                <w:szCs w:val="20"/>
              </w:rPr>
              <w:fldChar w:fldCharType="begin"/>
            </w:r>
            <w:r>
              <w:rPr>
                <w:rFonts w:ascii="Book Antiqua" w:hAnsi="Book Antiqua" w:cstheme="minorHAnsi"/>
                <w:b/>
                <w:bCs/>
                <w:sz w:val="18"/>
                <w:szCs w:val="20"/>
              </w:rPr>
              <w:instrText xml:space="preserve"> ADDIN ZOTERO_ITEM CSL_CITATION {"citationID":"ZzV1Kpir","properties":{"formattedCitation":"[20]","plainCitation":"[20]","noteIndex":0},"citationItems":[{"id":1376,"uris":["http://zotero.org/users/16433235/items/7DUFTA9Q"],"itemData":{"id":1376,"type":"article-journal","container-title":"Aktuelle Chirurgie","language":"German","page":"96–99","title":"Adjuvante Therapie postoperativer PankreasGalle- und Dünndarmfisteln mit Somatostatin i.v. 9 Eine multizentrische, randomisierte Studie","volume":"96","author":[{"family":"Isenmann","given":"R"},{"family":"Schielke","given":"DJ"},{"family":"Mörl","given":"FK"},{"family":"Wünsch","given":"N"},{"family":"Vestweber","given":"KH"},{"family":"Doertenbach","given":"JH"},{"family":"Konradt","given":"J"},{"family":"Hantschmann","given":"N"},{"family":"Horst","given":"W","non-dropping-particle":"von der"},{"family":"Loch","given":"H"},{"family":"Büchler","given":"M"}],"issued":{"date-parts":[["1994"]]}}}],"schema":"https://github.com/citation-style-language/schema/raw/master/csl-citation.json"} </w:instrText>
            </w:r>
            <w:r>
              <w:rPr>
                <w:rFonts w:ascii="Book Antiqua" w:hAnsi="Book Antiqua" w:cstheme="minorHAnsi"/>
                <w:b/>
                <w:bCs/>
                <w:sz w:val="18"/>
                <w:szCs w:val="20"/>
              </w:rPr>
              <w:fldChar w:fldCharType="separate"/>
            </w:r>
            <w:r w:rsidRPr="00E26729">
              <w:rPr>
                <w:rFonts w:ascii="Book Antiqua" w:hAnsi="Book Antiqua"/>
                <w:sz w:val="18"/>
              </w:rPr>
              <w:t>[20]</w:t>
            </w:r>
            <w:r>
              <w:rPr>
                <w:rFonts w:ascii="Book Antiqua" w:hAnsi="Book Antiqua" w:cstheme="minorHAnsi"/>
                <w:b/>
                <w:bCs/>
                <w:sz w:val="18"/>
                <w:szCs w:val="20"/>
              </w:rPr>
              <w:fldChar w:fldCharType="end"/>
            </w:r>
          </w:p>
        </w:tc>
        <w:tc>
          <w:tcPr>
            <w:tcW w:w="2127" w:type="dxa"/>
            <w:tcBorders>
              <w:top w:val="nil"/>
              <w:left w:val="nil"/>
              <w:bottom w:val="nil"/>
              <w:right w:val="nil"/>
            </w:tcBorders>
            <w:hideMark/>
          </w:tcPr>
          <w:p w14:paraId="15B198ED"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Some concerns: The study is described as randomized, but the method of sequence generation or allocation concealment is not reported. Groups are balanced, but lack of methodological detail raises concern.</w:t>
            </w:r>
          </w:p>
        </w:tc>
        <w:tc>
          <w:tcPr>
            <w:tcW w:w="1984" w:type="dxa"/>
            <w:tcBorders>
              <w:top w:val="nil"/>
              <w:left w:val="nil"/>
              <w:bottom w:val="nil"/>
              <w:right w:val="nil"/>
            </w:tcBorders>
            <w:hideMark/>
          </w:tcPr>
          <w:p w14:paraId="5944793D" w14:textId="77777777" w:rsidR="00356CED" w:rsidRPr="00244231" w:rsidRDefault="00356CED" w:rsidP="00997BCF">
            <w:pPr>
              <w:spacing w:line="360" w:lineRule="auto"/>
              <w:rPr>
                <w:rFonts w:ascii="Book Antiqua" w:hAnsi="Book Antiqua" w:cstheme="minorHAnsi"/>
                <w:sz w:val="18"/>
                <w:szCs w:val="20"/>
              </w:rPr>
            </w:pPr>
            <w:r w:rsidRPr="00244231">
              <w:rPr>
                <w:rFonts w:ascii="Book Antiqua" w:hAnsi="Book Antiqua" w:cstheme="minorHAnsi"/>
                <w:sz w:val="18"/>
                <w:szCs w:val="20"/>
                <w:lang w:val="en-US"/>
              </w:rPr>
              <w:t xml:space="preserve">Low risk: No deviations from intended interventions are reported. </w:t>
            </w:r>
            <w:r w:rsidRPr="00244231">
              <w:rPr>
                <w:rFonts w:ascii="Book Antiqua" w:hAnsi="Book Antiqua" w:cstheme="minorHAnsi"/>
                <w:sz w:val="18"/>
                <w:szCs w:val="20"/>
              </w:rPr>
              <w:t>Patients appear to have received allocated treatments as planned.</w:t>
            </w:r>
          </w:p>
        </w:tc>
        <w:tc>
          <w:tcPr>
            <w:tcW w:w="1985" w:type="dxa"/>
            <w:tcBorders>
              <w:top w:val="nil"/>
              <w:left w:val="nil"/>
              <w:bottom w:val="nil"/>
              <w:right w:val="nil"/>
            </w:tcBorders>
            <w:hideMark/>
          </w:tcPr>
          <w:p w14:paraId="32EBFB64"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Low risk: All or nearly all participants were accounted for. There is no evidence of differential dropout or missing data between groups.</w:t>
            </w:r>
          </w:p>
        </w:tc>
        <w:tc>
          <w:tcPr>
            <w:tcW w:w="1984" w:type="dxa"/>
            <w:tcBorders>
              <w:top w:val="nil"/>
              <w:left w:val="nil"/>
              <w:bottom w:val="nil"/>
              <w:right w:val="nil"/>
            </w:tcBorders>
            <w:hideMark/>
          </w:tcPr>
          <w:p w14:paraId="22180A31"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Low risk: Outcomes such as fistula closure time and volume are objective and unlikely to be affected by lack of blinding.</w:t>
            </w:r>
          </w:p>
        </w:tc>
        <w:tc>
          <w:tcPr>
            <w:tcW w:w="2268" w:type="dxa"/>
            <w:tcBorders>
              <w:top w:val="nil"/>
              <w:left w:val="nil"/>
              <w:bottom w:val="nil"/>
              <w:right w:val="nil"/>
            </w:tcBorders>
            <w:hideMark/>
          </w:tcPr>
          <w:p w14:paraId="0F4BABA2"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Some concerns: No protocol or trial registration is available. It is unclear if all predefined outcomes were reported, raising the possibility of selective reporting.</w:t>
            </w:r>
          </w:p>
        </w:tc>
        <w:tc>
          <w:tcPr>
            <w:tcW w:w="2268" w:type="dxa"/>
            <w:tcBorders>
              <w:top w:val="nil"/>
              <w:left w:val="nil"/>
              <w:bottom w:val="nil"/>
              <w:right w:val="nil"/>
            </w:tcBorders>
            <w:hideMark/>
          </w:tcPr>
          <w:p w14:paraId="6504114F"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Low risk: Multicenter study with balanced groups; no financial or methodological concerns were identified.</w:t>
            </w:r>
          </w:p>
        </w:tc>
      </w:tr>
      <w:tr w:rsidR="00676C79" w:rsidRPr="009571E5" w14:paraId="3CE61BD3" w14:textId="77777777" w:rsidTr="00676C79">
        <w:trPr>
          <w:trHeight w:val="2304"/>
        </w:trPr>
        <w:tc>
          <w:tcPr>
            <w:tcW w:w="1701" w:type="dxa"/>
            <w:tcBorders>
              <w:top w:val="nil"/>
              <w:left w:val="nil"/>
              <w:bottom w:val="nil"/>
              <w:right w:val="nil"/>
            </w:tcBorders>
            <w:hideMark/>
          </w:tcPr>
          <w:p w14:paraId="1EFD3187" w14:textId="77777777" w:rsidR="00356CED" w:rsidRPr="00244231" w:rsidRDefault="00356CED" w:rsidP="00997BCF">
            <w:pPr>
              <w:spacing w:line="360" w:lineRule="auto"/>
              <w:ind w:hanging="108"/>
              <w:rPr>
                <w:rFonts w:ascii="Book Antiqua" w:hAnsi="Book Antiqua" w:cstheme="minorHAnsi"/>
                <w:b/>
                <w:bCs/>
                <w:sz w:val="18"/>
                <w:szCs w:val="20"/>
              </w:rPr>
            </w:pPr>
            <w:r w:rsidRPr="00244231">
              <w:rPr>
                <w:rFonts w:ascii="Book Antiqua" w:hAnsi="Book Antiqua" w:cstheme="minorHAnsi"/>
                <w:b/>
                <w:bCs/>
                <w:sz w:val="18"/>
                <w:szCs w:val="20"/>
              </w:rPr>
              <w:lastRenderedPageBreak/>
              <w:t>Sancho 1995</w:t>
            </w:r>
            <w:r>
              <w:rPr>
                <w:rFonts w:ascii="Book Antiqua" w:hAnsi="Book Antiqua" w:cstheme="minorHAnsi"/>
                <w:b/>
                <w:bCs/>
                <w:sz w:val="18"/>
                <w:szCs w:val="20"/>
              </w:rPr>
              <w:fldChar w:fldCharType="begin"/>
            </w:r>
            <w:r>
              <w:rPr>
                <w:rFonts w:ascii="Book Antiqua" w:hAnsi="Book Antiqua" w:cstheme="minorHAnsi"/>
                <w:b/>
                <w:bCs/>
                <w:sz w:val="18"/>
                <w:szCs w:val="20"/>
              </w:rPr>
              <w:instrText xml:space="preserve"> ADDIN ZOTERO_ITEM CSL_CITATION {"citationID":"Hs34lbjp","properties":{"formattedCitation":"[21]","plainCitation":"[21]","noteIndex":0},"citationItems":[{"id":1308,"uris":["http://zotero.org/users/16433235/items/CMLIZD7R"],"itemData":{"id":1308,"type":"article-journal","abstract":"Abstract               Somatostatin and octreotide both enhance closure of gastrointestinal fistulas. The present trial was undertaken to test whether early combined treatment with parenteral nutrition and octreotide 100 μg every 8 h by subcutaneous injection had a beneficial effect compared with parenteral nutrition plus placebo. Thirty-one patients with postoperative gastrointestinal or pancreatic fistula were randomly assigned to receive parenteral nutrition plus octreotide (14 patients) or placebo (17) within 8 days of fistula onset. The percentage reduction in output and rate of spontaneous closure within 20 days were analysed. Mean(s.d.) reduction in output was similar after octreotide and placebo at 24 h (66(43) versus 68(47) per cent, P = 0.9), 48 h (60(46) versus 57(43) per cent, P = 0.8) and 72 h (62(50) versus 66(49) per cent, P = 0.9) after starting the combined treatment. Closure within 20 days was observed in eight of 14 fistulas in patients given octreotide and in six of 17 in those receiving placebo (P = 0.4). Administration of octreotide, within 8 days of fistula onset, associated with parenteral nutrition does not significantly increase the spontaneous fistula closure rate compared with parenteral nutrition plus placebo.","container-title":"Journal of British Surgery","DOI":"10.1002/bjs.1800820521","ISSN":"0007-1323, 1365-2168","issue":"5","language":"en","license":"https://academic.oup.com/journals/pages/open_access/funder_policies/chorus/standard_publication_model","note":"publisher: Oxford University Press (OUP)","page":"638-641","source":"Crossref","title":"Randomized double-blind placebo-controlled trial of early octreotide in patients with postoperative enterocutaneous fistula","volume":"82","author":[{"family":"Sancho","given":"J J"},{"family":"Di Costanzo","given":"J"},{"family":"Nubiola","given":"P"},{"family":"Larrad","given":"A"},{"family":"Beguiristain","given":"A"},{"family":"Roqueta","given":"F"},{"family":"Franch","given":"G"},{"family":"Oliva","given":"A"},{"family":"Gubern","given":"J M"},{"family":"Sitges-Serra","given":"A"}],"issued":{"date-parts":[["1995",5,1]]}}}],"schema":"https://github.com/citation-style-language/schema/raw/master/csl-citation.json"} </w:instrText>
            </w:r>
            <w:r>
              <w:rPr>
                <w:rFonts w:ascii="Book Antiqua" w:hAnsi="Book Antiqua" w:cstheme="minorHAnsi"/>
                <w:b/>
                <w:bCs/>
                <w:sz w:val="18"/>
                <w:szCs w:val="20"/>
              </w:rPr>
              <w:fldChar w:fldCharType="separate"/>
            </w:r>
            <w:r w:rsidRPr="00E26729">
              <w:rPr>
                <w:rFonts w:ascii="Book Antiqua" w:hAnsi="Book Antiqua"/>
                <w:sz w:val="18"/>
              </w:rPr>
              <w:t>[21]</w:t>
            </w:r>
            <w:r>
              <w:rPr>
                <w:rFonts w:ascii="Book Antiqua" w:hAnsi="Book Antiqua" w:cstheme="minorHAnsi"/>
                <w:b/>
                <w:bCs/>
                <w:sz w:val="18"/>
                <w:szCs w:val="20"/>
              </w:rPr>
              <w:fldChar w:fldCharType="end"/>
            </w:r>
          </w:p>
        </w:tc>
        <w:tc>
          <w:tcPr>
            <w:tcW w:w="2127" w:type="dxa"/>
            <w:tcBorders>
              <w:top w:val="nil"/>
              <w:left w:val="nil"/>
              <w:bottom w:val="nil"/>
              <w:right w:val="nil"/>
            </w:tcBorders>
            <w:hideMark/>
          </w:tcPr>
          <w:p w14:paraId="7261D48B" w14:textId="17277586" w:rsidR="003E3245"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High risk: The paper does not describe the method of random sequence generation or allocation concealment. This lack of information raises concerns about possible selection bias.</w:t>
            </w:r>
          </w:p>
        </w:tc>
        <w:tc>
          <w:tcPr>
            <w:tcW w:w="1984" w:type="dxa"/>
            <w:tcBorders>
              <w:top w:val="nil"/>
              <w:left w:val="nil"/>
              <w:bottom w:val="nil"/>
              <w:right w:val="nil"/>
            </w:tcBorders>
            <w:hideMark/>
          </w:tcPr>
          <w:p w14:paraId="2E23C3CB" w14:textId="5FD45C43" w:rsidR="003E3245" w:rsidRPr="00161F91" w:rsidRDefault="00356CED" w:rsidP="00997BCF">
            <w:pPr>
              <w:spacing w:line="360" w:lineRule="auto"/>
              <w:rPr>
                <w:rFonts w:ascii="Book Antiqua" w:hAnsi="Book Antiqua" w:cstheme="minorHAnsi"/>
                <w:sz w:val="18"/>
                <w:szCs w:val="20"/>
              </w:rPr>
            </w:pPr>
            <w:r w:rsidRPr="00244231">
              <w:rPr>
                <w:rFonts w:ascii="Book Antiqua" w:hAnsi="Book Antiqua" w:cstheme="minorHAnsi"/>
                <w:sz w:val="18"/>
                <w:szCs w:val="20"/>
                <w:lang w:val="en-US"/>
              </w:rPr>
              <w:t xml:space="preserve">Low risk: There is no evidence of deviation from intended interventions in either group. </w:t>
            </w:r>
            <w:r w:rsidRPr="00244231">
              <w:rPr>
                <w:rFonts w:ascii="Book Antiqua" w:hAnsi="Book Antiqua" w:cstheme="minorHAnsi"/>
                <w:sz w:val="18"/>
                <w:szCs w:val="20"/>
              </w:rPr>
              <w:t>The interventions appear to have been applied as planned.</w:t>
            </w:r>
          </w:p>
        </w:tc>
        <w:tc>
          <w:tcPr>
            <w:tcW w:w="1985" w:type="dxa"/>
            <w:tcBorders>
              <w:top w:val="nil"/>
              <w:left w:val="nil"/>
              <w:bottom w:val="nil"/>
              <w:right w:val="nil"/>
            </w:tcBorders>
            <w:hideMark/>
          </w:tcPr>
          <w:p w14:paraId="2D1B20C8" w14:textId="70E45439" w:rsidR="003E3245"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Some concerns: While the outcomes are mostly reported, the handling of withdrawals is unclear, and no intention-to-treat analysis is mentioned.</w:t>
            </w:r>
          </w:p>
        </w:tc>
        <w:tc>
          <w:tcPr>
            <w:tcW w:w="1984" w:type="dxa"/>
            <w:tcBorders>
              <w:top w:val="nil"/>
              <w:left w:val="nil"/>
              <w:bottom w:val="nil"/>
              <w:right w:val="nil"/>
            </w:tcBorders>
            <w:hideMark/>
          </w:tcPr>
          <w:p w14:paraId="04C570ED"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Low risk: Outcomes such as fistula closure are objective and unlikely to be influenced by lack of blinding.</w:t>
            </w:r>
          </w:p>
        </w:tc>
        <w:tc>
          <w:tcPr>
            <w:tcW w:w="2268" w:type="dxa"/>
            <w:tcBorders>
              <w:top w:val="nil"/>
              <w:left w:val="nil"/>
              <w:bottom w:val="nil"/>
              <w:right w:val="nil"/>
            </w:tcBorders>
            <w:hideMark/>
          </w:tcPr>
          <w:p w14:paraId="2589E687"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High risk: There is no trial registration or protocol available. This raises concern that outcomes may have been selectively reported.</w:t>
            </w:r>
          </w:p>
        </w:tc>
        <w:tc>
          <w:tcPr>
            <w:tcW w:w="2268" w:type="dxa"/>
            <w:tcBorders>
              <w:top w:val="nil"/>
              <w:left w:val="nil"/>
              <w:bottom w:val="nil"/>
              <w:right w:val="nil"/>
            </w:tcBorders>
            <w:hideMark/>
          </w:tcPr>
          <w:p w14:paraId="365D85E3"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Some concerns – Small sample size and limited reporting on baseline comparability.</w:t>
            </w:r>
          </w:p>
        </w:tc>
      </w:tr>
      <w:tr w:rsidR="00676C79" w:rsidRPr="009571E5" w14:paraId="187CF10C" w14:textId="77777777" w:rsidTr="00676C79">
        <w:trPr>
          <w:trHeight w:val="1104"/>
        </w:trPr>
        <w:tc>
          <w:tcPr>
            <w:tcW w:w="1701" w:type="dxa"/>
            <w:tcBorders>
              <w:top w:val="nil"/>
              <w:left w:val="nil"/>
              <w:bottom w:val="nil"/>
              <w:right w:val="nil"/>
            </w:tcBorders>
            <w:hideMark/>
          </w:tcPr>
          <w:p w14:paraId="62C636A1" w14:textId="77777777" w:rsidR="00356CED" w:rsidRPr="00244231" w:rsidRDefault="00356CED" w:rsidP="00997BCF">
            <w:pPr>
              <w:spacing w:line="360" w:lineRule="auto"/>
              <w:ind w:hanging="108"/>
              <w:rPr>
                <w:rFonts w:ascii="Book Antiqua" w:hAnsi="Book Antiqua" w:cstheme="minorHAnsi"/>
                <w:b/>
                <w:bCs/>
                <w:sz w:val="18"/>
                <w:szCs w:val="20"/>
              </w:rPr>
            </w:pPr>
            <w:r w:rsidRPr="00244231">
              <w:rPr>
                <w:rFonts w:ascii="Book Antiqua" w:hAnsi="Book Antiqua" w:cstheme="minorHAnsi"/>
                <w:b/>
                <w:bCs/>
                <w:sz w:val="18"/>
                <w:szCs w:val="20"/>
              </w:rPr>
              <w:t>Hernández-Aranda 1996</w:t>
            </w:r>
            <w:r>
              <w:rPr>
                <w:rFonts w:ascii="Book Antiqua" w:hAnsi="Book Antiqua" w:cstheme="minorHAnsi"/>
                <w:b/>
                <w:bCs/>
                <w:sz w:val="18"/>
                <w:szCs w:val="20"/>
              </w:rPr>
              <w:fldChar w:fldCharType="begin"/>
            </w:r>
            <w:r>
              <w:rPr>
                <w:rFonts w:ascii="Book Antiqua" w:hAnsi="Book Antiqua" w:cstheme="minorHAnsi"/>
                <w:b/>
                <w:bCs/>
                <w:sz w:val="18"/>
                <w:szCs w:val="20"/>
              </w:rPr>
              <w:instrText xml:space="preserve"> ADDIN ZOTERO_ITEM CSL_CITATION {"citationID":"uORdSKnY","properties":{"formattedCitation":"[2]","plainCitation":"[2]","noteIndex":0},"citationItems":[{"id":1362,"uris":["http://zotero.org/users/16433235/items/JJ4L3GXA"],"itemData":{"id":1362,"type":"article-journal","abstract":"OBJECTIVE: To evaluate the use of octreotide together with the conservative handling in the treatment of patients with external gastrointestinal fistulae.\nMATERIAL AND METHODS: Clinical essay in postsurgical gastrointestinal fistulae carriers assisted during a 54-month period. They were randomly distributed in two groups: group A was treated with conventional handling and group B was additionally treated with octreotide.\nRESULTS: 44 women and 55 men with an average age of 50 +/- 19 years old were treated. The following table summarizes the result variables. [table: see text]\nCONCLUSION: The use of octreotide is recommendable, for it was useful in diminishing both the closing time of the fistula and the time the nutritional support the patient requires. Mortality still continues to be very increased (because of sepsis), by which the phrase \"primum non nocere\" takes a relevant place since this pathology is greatly preventable.","container-title":"Nutricion Hospitalaria","ISSN":"0212-1611","issue":"4","journalAbbreviation":"Nutr Hosp","language":"spa","note":"PMID: 8962902","page":"226-229","source":"PubMed","title":"[Treatment of enterocutaneous fistula with or without octreotide and parenteral nutrition]","volume":"11","author":[{"family":"Hernández-Aranda","given":"J. C."},{"family":"Gallo-Chico","given":"B."},{"family":"Flores-Ramírez","given":"L. A."},{"family":"Avalos-Huante","given":"R."},{"family":"Magos-Vázquez","given":"F. J."},{"family":"Ramírez-Barba","given":"E. J."}],"issued":{"date-parts":[["1996"]]}}}],"schema":"https://github.com/citation-style-language/schema/raw/master/csl-citation.json"} </w:instrText>
            </w:r>
            <w:r>
              <w:rPr>
                <w:rFonts w:ascii="Book Antiqua" w:hAnsi="Book Antiqua" w:cstheme="minorHAnsi"/>
                <w:b/>
                <w:bCs/>
                <w:sz w:val="18"/>
                <w:szCs w:val="20"/>
              </w:rPr>
              <w:fldChar w:fldCharType="separate"/>
            </w:r>
            <w:r w:rsidRPr="00E26729">
              <w:rPr>
                <w:rFonts w:ascii="Book Antiqua" w:hAnsi="Book Antiqua"/>
                <w:sz w:val="18"/>
              </w:rPr>
              <w:t>[2]</w:t>
            </w:r>
            <w:r>
              <w:rPr>
                <w:rFonts w:ascii="Book Antiqua" w:hAnsi="Book Antiqua" w:cstheme="minorHAnsi"/>
                <w:b/>
                <w:bCs/>
                <w:sz w:val="18"/>
                <w:szCs w:val="20"/>
              </w:rPr>
              <w:fldChar w:fldCharType="end"/>
            </w:r>
          </w:p>
        </w:tc>
        <w:tc>
          <w:tcPr>
            <w:tcW w:w="2127" w:type="dxa"/>
            <w:tcBorders>
              <w:top w:val="nil"/>
              <w:left w:val="nil"/>
              <w:bottom w:val="nil"/>
              <w:right w:val="nil"/>
            </w:tcBorders>
            <w:hideMark/>
          </w:tcPr>
          <w:p w14:paraId="692ABB8B"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Some concerns: Randomized but no method described</w:t>
            </w:r>
          </w:p>
        </w:tc>
        <w:tc>
          <w:tcPr>
            <w:tcW w:w="1984" w:type="dxa"/>
            <w:tcBorders>
              <w:top w:val="nil"/>
              <w:left w:val="nil"/>
              <w:bottom w:val="nil"/>
              <w:right w:val="nil"/>
            </w:tcBorders>
            <w:hideMark/>
          </w:tcPr>
          <w:p w14:paraId="2769A368"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Low: Blinding appears to be maintained</w:t>
            </w:r>
          </w:p>
        </w:tc>
        <w:tc>
          <w:tcPr>
            <w:tcW w:w="1985" w:type="dxa"/>
            <w:tcBorders>
              <w:top w:val="nil"/>
              <w:left w:val="nil"/>
              <w:bottom w:val="nil"/>
              <w:right w:val="nil"/>
            </w:tcBorders>
            <w:hideMark/>
          </w:tcPr>
          <w:p w14:paraId="40585271" w14:textId="77777777" w:rsidR="00356CED"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Low: Low dropout rate and accounted for</w:t>
            </w:r>
          </w:p>
          <w:p w14:paraId="1AAE9371" w14:textId="77777777" w:rsidR="003E3245" w:rsidRPr="00244231" w:rsidRDefault="003E3245" w:rsidP="00997BCF">
            <w:pPr>
              <w:spacing w:line="360" w:lineRule="auto"/>
              <w:rPr>
                <w:rFonts w:ascii="Book Antiqua" w:hAnsi="Book Antiqua" w:cstheme="minorHAnsi"/>
                <w:sz w:val="18"/>
                <w:szCs w:val="20"/>
                <w:lang w:val="en-US"/>
              </w:rPr>
            </w:pPr>
          </w:p>
        </w:tc>
        <w:tc>
          <w:tcPr>
            <w:tcW w:w="1984" w:type="dxa"/>
            <w:tcBorders>
              <w:top w:val="nil"/>
              <w:left w:val="nil"/>
              <w:bottom w:val="nil"/>
              <w:right w:val="nil"/>
            </w:tcBorders>
            <w:hideMark/>
          </w:tcPr>
          <w:p w14:paraId="365B148B"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Low: Objective outcomes, unlikely measurement bias</w:t>
            </w:r>
          </w:p>
        </w:tc>
        <w:tc>
          <w:tcPr>
            <w:tcW w:w="2268" w:type="dxa"/>
            <w:tcBorders>
              <w:top w:val="nil"/>
              <w:left w:val="nil"/>
              <w:bottom w:val="nil"/>
              <w:right w:val="nil"/>
            </w:tcBorders>
            <w:hideMark/>
          </w:tcPr>
          <w:p w14:paraId="5F2FDEB4"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High: Selective reporting likely as only positive results emphasized</w:t>
            </w:r>
          </w:p>
        </w:tc>
        <w:tc>
          <w:tcPr>
            <w:tcW w:w="2268" w:type="dxa"/>
            <w:tcBorders>
              <w:top w:val="nil"/>
              <w:left w:val="nil"/>
              <w:bottom w:val="nil"/>
              <w:right w:val="nil"/>
            </w:tcBorders>
            <w:hideMark/>
          </w:tcPr>
          <w:p w14:paraId="4A7F80CC"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Some concerns: Unclear funding or conflict of interest</w:t>
            </w:r>
          </w:p>
        </w:tc>
      </w:tr>
      <w:tr w:rsidR="00676C79" w:rsidRPr="008A48F2" w14:paraId="28D83A81" w14:textId="77777777" w:rsidTr="00676C79">
        <w:trPr>
          <w:trHeight w:val="828"/>
        </w:trPr>
        <w:tc>
          <w:tcPr>
            <w:tcW w:w="1701" w:type="dxa"/>
            <w:tcBorders>
              <w:top w:val="nil"/>
              <w:left w:val="nil"/>
              <w:bottom w:val="nil"/>
              <w:right w:val="nil"/>
            </w:tcBorders>
            <w:hideMark/>
          </w:tcPr>
          <w:p w14:paraId="0C381229" w14:textId="77777777" w:rsidR="00356CED" w:rsidRPr="00244231" w:rsidRDefault="00356CED" w:rsidP="00997BCF">
            <w:pPr>
              <w:spacing w:line="360" w:lineRule="auto"/>
              <w:ind w:hanging="108"/>
              <w:rPr>
                <w:rFonts w:ascii="Book Antiqua" w:hAnsi="Book Antiqua" w:cstheme="minorHAnsi"/>
                <w:b/>
                <w:bCs/>
                <w:sz w:val="18"/>
                <w:szCs w:val="20"/>
              </w:rPr>
            </w:pPr>
            <w:r w:rsidRPr="00244231">
              <w:rPr>
                <w:rFonts w:ascii="Book Antiqua" w:hAnsi="Book Antiqua" w:cstheme="minorHAnsi"/>
                <w:b/>
                <w:bCs/>
                <w:sz w:val="18"/>
                <w:szCs w:val="20"/>
              </w:rPr>
              <w:t xml:space="preserve">Leandros 2004 </w:t>
            </w:r>
            <w:r>
              <w:rPr>
                <w:rFonts w:ascii="Book Antiqua" w:hAnsi="Book Antiqua" w:cstheme="minorHAnsi"/>
                <w:b/>
                <w:bCs/>
                <w:sz w:val="18"/>
                <w:szCs w:val="20"/>
              </w:rPr>
              <w:fldChar w:fldCharType="begin"/>
            </w:r>
            <w:r>
              <w:rPr>
                <w:rFonts w:ascii="Book Antiqua" w:hAnsi="Book Antiqua" w:cstheme="minorHAnsi"/>
                <w:b/>
                <w:bCs/>
                <w:sz w:val="18"/>
                <w:szCs w:val="20"/>
              </w:rPr>
              <w:instrText xml:space="preserve"> ADDIN ZOTERO_ITEM CSL_CITATION {"citationID":"4itg6HqS","properties":{"formattedCitation":"[22]","plainCitation":"[22]","noteIndex":0},"citationItems":[{"id":1307,"uris":["http://zotero.org/users/16433235/items/M4A7K7WY"],"itemData":{"id":1307,"type":"article-journal","abstract":"BACKGROUND AND PURPOSE: Gastrointestinal and pancreatic fistulas are characterized as serious complications following abdominal surgery, with a reported incidence of up to 27% and 46%, respectively. Fistula formation results in prolonged hospitalization, increased morbidity/mortality and increased treatment costs. Conservative and surgical approaches are both employed in the management of these fistulas. The purpose of the present study was to assess, evaluate and compare the potential clinical benefit and cost effectiveness of pharmacotherapy (somatostatin versus its analogue octreotide) versus conventional therapy. PATIENTS AND METHODS: Fifty-one patients with gastrointestinal or pancreatic fistulas were randomized to three treatment groups: 19 patients received 6000 IU/day of somatostatin intravenously, 17 received 100 µg of octreotide three times daily subcutaneously and 15 patients received only standard medical treatment.\nRESULTS: The fistula closure rate was 84% in the somatostatin group, 65% in the octreotide group and 27% in the control group. These differences were of statistical significance (P=0.007). Overall mortality rate was less than 5% and statistically significant differences in mortality among the three groups could not be established. Overall, treatment with somatostatin and octreotide was more cost effective than conventional therapy (control group), and somatostatin was more cost effective than octreotide. The average hospital stay was 21.6 days, 27.0 and 31.5 days for the somatostatin, octreotide and control groups, respectively.\nCONCLUSIONS: Data suggest that pharmacotherapy reduces the costs involved in fistula management (by reducing hospitalization) and also offers increased spontaneous closure rate. Further prospective studies focusing on the above parameters are needed to demonstrate the clinicoeconomic benefits.","container-title":"Canadian Journal of Gastroenterology","DOI":"10.1155/2004/901570","ISSN":"0835-7900","issue":"5","language":"en","license":"http://creativecommons.org/licenses/by-nc/4.0/","note":"publisher: Hindawi Limited","page":"303-306","source":"Crossref","title":"Somatostatin versus octreotide in the treatment of patients with gastrointestinal and pancreatic fistulas","volume":"18","author":[{"family":"Leandros","given":"Emanuel"},{"family":"Antonakis","given":"Pantelis T"},{"family":"Albanopoulos","given":"Konstantinos"},{"family":"Dervenis","given":"Chris"},{"family":"Konstadoulakis","given":"Manousos M"}],"issued":{"date-parts":[["2004"]]}}}],"schema":"https://github.com/citation-style-language/schema/raw/master/csl-citation.json"} </w:instrText>
            </w:r>
            <w:r>
              <w:rPr>
                <w:rFonts w:ascii="Book Antiqua" w:hAnsi="Book Antiqua" w:cstheme="minorHAnsi"/>
                <w:b/>
                <w:bCs/>
                <w:sz w:val="18"/>
                <w:szCs w:val="20"/>
              </w:rPr>
              <w:fldChar w:fldCharType="separate"/>
            </w:r>
            <w:r w:rsidRPr="00E26729">
              <w:rPr>
                <w:rFonts w:ascii="Book Antiqua" w:hAnsi="Book Antiqua"/>
                <w:sz w:val="18"/>
              </w:rPr>
              <w:t>[22]</w:t>
            </w:r>
            <w:r>
              <w:rPr>
                <w:rFonts w:ascii="Book Antiqua" w:hAnsi="Book Antiqua" w:cstheme="minorHAnsi"/>
                <w:b/>
                <w:bCs/>
                <w:sz w:val="18"/>
                <w:szCs w:val="20"/>
              </w:rPr>
              <w:fldChar w:fldCharType="end"/>
            </w:r>
          </w:p>
        </w:tc>
        <w:tc>
          <w:tcPr>
            <w:tcW w:w="2127" w:type="dxa"/>
            <w:tcBorders>
              <w:top w:val="nil"/>
              <w:left w:val="nil"/>
              <w:bottom w:val="nil"/>
              <w:right w:val="nil"/>
            </w:tcBorders>
            <w:hideMark/>
          </w:tcPr>
          <w:p w14:paraId="5E1D563B" w14:textId="027FFF67" w:rsidR="003E3245" w:rsidRPr="00244231" w:rsidRDefault="00356CED" w:rsidP="00997BCF">
            <w:pPr>
              <w:spacing w:line="360" w:lineRule="auto"/>
              <w:rPr>
                <w:rFonts w:ascii="Book Antiqua" w:hAnsi="Book Antiqua" w:cstheme="minorHAnsi"/>
                <w:sz w:val="18"/>
                <w:szCs w:val="20"/>
                <w:lang w:val="en-US"/>
              </w:rPr>
            </w:pPr>
            <w:r w:rsidRPr="003C3EB2">
              <w:rPr>
                <w:rFonts w:ascii="Book Antiqua" w:hAnsi="Book Antiqua" w:cstheme="minorHAnsi"/>
                <w:sz w:val="18"/>
                <w:szCs w:val="20"/>
                <w:lang w:val="en-US"/>
              </w:rPr>
              <w:t>Some concerns: Randomization stated but method not described, age imbalance (P=0.049)</w:t>
            </w:r>
          </w:p>
        </w:tc>
        <w:tc>
          <w:tcPr>
            <w:tcW w:w="1984" w:type="dxa"/>
            <w:tcBorders>
              <w:top w:val="nil"/>
              <w:left w:val="nil"/>
              <w:bottom w:val="nil"/>
              <w:right w:val="nil"/>
            </w:tcBorders>
            <w:hideMark/>
          </w:tcPr>
          <w:p w14:paraId="2681FD23" w14:textId="0375CD17" w:rsidR="003E3245" w:rsidRPr="00244231" w:rsidRDefault="00356CED" w:rsidP="00997BCF">
            <w:pPr>
              <w:spacing w:line="360" w:lineRule="auto"/>
              <w:rPr>
                <w:rFonts w:ascii="Book Antiqua" w:hAnsi="Book Antiqua" w:cstheme="minorHAnsi"/>
                <w:sz w:val="18"/>
                <w:szCs w:val="20"/>
                <w:lang w:val="en-US"/>
              </w:rPr>
            </w:pPr>
            <w:r w:rsidRPr="003C3EB2">
              <w:rPr>
                <w:rFonts w:ascii="Book Antiqua" w:hAnsi="Book Antiqua" w:cstheme="minorHAnsi"/>
                <w:sz w:val="18"/>
                <w:szCs w:val="20"/>
                <w:lang w:val="en-US"/>
              </w:rPr>
              <w:t>Some concerns: Open-label design, no blinding, but no evidence of co-interventions</w:t>
            </w:r>
          </w:p>
        </w:tc>
        <w:tc>
          <w:tcPr>
            <w:tcW w:w="1985" w:type="dxa"/>
            <w:tcBorders>
              <w:top w:val="nil"/>
              <w:left w:val="nil"/>
              <w:bottom w:val="nil"/>
              <w:right w:val="nil"/>
            </w:tcBorders>
            <w:hideMark/>
          </w:tcPr>
          <w:p w14:paraId="63D8EA2D" w14:textId="77777777" w:rsidR="00356CED" w:rsidRPr="00244231" w:rsidRDefault="00356CED" w:rsidP="00997BCF">
            <w:pPr>
              <w:spacing w:line="360" w:lineRule="auto"/>
              <w:rPr>
                <w:rFonts w:ascii="Book Antiqua" w:hAnsi="Book Antiqua" w:cstheme="minorHAnsi"/>
                <w:sz w:val="18"/>
                <w:szCs w:val="20"/>
                <w:lang w:val="en-US"/>
              </w:rPr>
            </w:pPr>
            <w:r w:rsidRPr="003C3EB2">
              <w:rPr>
                <w:rFonts w:ascii="Book Antiqua" w:hAnsi="Book Antiqua" w:cstheme="minorHAnsi"/>
                <w:sz w:val="18"/>
                <w:szCs w:val="20"/>
                <w:lang w:val="en-US"/>
              </w:rPr>
              <w:t>Low risk: All randomized patients analyzed</w:t>
            </w:r>
          </w:p>
        </w:tc>
        <w:tc>
          <w:tcPr>
            <w:tcW w:w="1984" w:type="dxa"/>
            <w:tcBorders>
              <w:top w:val="nil"/>
              <w:left w:val="nil"/>
              <w:bottom w:val="nil"/>
              <w:right w:val="nil"/>
            </w:tcBorders>
            <w:hideMark/>
          </w:tcPr>
          <w:p w14:paraId="139C9E9C" w14:textId="77777777" w:rsidR="00356CED" w:rsidRPr="00244231" w:rsidRDefault="00356CED" w:rsidP="00997BCF">
            <w:pPr>
              <w:spacing w:line="360" w:lineRule="auto"/>
              <w:rPr>
                <w:rFonts w:ascii="Book Antiqua" w:hAnsi="Book Antiqua" w:cstheme="minorHAnsi"/>
                <w:sz w:val="18"/>
                <w:szCs w:val="20"/>
                <w:lang w:val="en-US"/>
              </w:rPr>
            </w:pPr>
            <w:r w:rsidRPr="003C3EB2">
              <w:rPr>
                <w:rFonts w:ascii="Book Antiqua" w:hAnsi="Book Antiqua" w:cstheme="minorHAnsi"/>
                <w:sz w:val="18"/>
                <w:szCs w:val="20"/>
                <w:lang w:val="en-US"/>
              </w:rPr>
              <w:t>Some concerns: Outcomes objective but assessors not blinded</w:t>
            </w:r>
          </w:p>
        </w:tc>
        <w:tc>
          <w:tcPr>
            <w:tcW w:w="2268" w:type="dxa"/>
            <w:tcBorders>
              <w:top w:val="nil"/>
              <w:left w:val="nil"/>
              <w:bottom w:val="nil"/>
              <w:right w:val="nil"/>
            </w:tcBorders>
            <w:hideMark/>
          </w:tcPr>
          <w:p w14:paraId="7A7D8D7A" w14:textId="77777777" w:rsidR="00356CED" w:rsidRPr="00244231" w:rsidRDefault="00356CED" w:rsidP="00997BCF">
            <w:pPr>
              <w:spacing w:line="360" w:lineRule="auto"/>
              <w:rPr>
                <w:rFonts w:ascii="Book Antiqua" w:hAnsi="Book Antiqua" w:cstheme="minorHAnsi"/>
                <w:sz w:val="18"/>
                <w:szCs w:val="20"/>
                <w:lang w:val="en-US"/>
              </w:rPr>
            </w:pPr>
            <w:r w:rsidRPr="003C3EB2">
              <w:rPr>
                <w:rFonts w:ascii="Book Antiqua" w:hAnsi="Book Antiqua" w:cstheme="minorHAnsi"/>
                <w:sz w:val="18"/>
                <w:szCs w:val="20"/>
                <w:lang w:val="en-US"/>
              </w:rPr>
              <w:t>Some concerns: No protocol or registry available</w:t>
            </w:r>
          </w:p>
        </w:tc>
        <w:tc>
          <w:tcPr>
            <w:tcW w:w="2268" w:type="dxa"/>
            <w:tcBorders>
              <w:top w:val="nil"/>
              <w:left w:val="nil"/>
              <w:bottom w:val="nil"/>
              <w:right w:val="nil"/>
            </w:tcBorders>
            <w:hideMark/>
          </w:tcPr>
          <w:p w14:paraId="3DA9741C" w14:textId="77777777" w:rsidR="00356CED" w:rsidRPr="00244231" w:rsidRDefault="00356CED" w:rsidP="00997BCF">
            <w:pPr>
              <w:spacing w:line="360" w:lineRule="auto"/>
              <w:rPr>
                <w:rFonts w:ascii="Book Antiqua" w:hAnsi="Book Antiqua" w:cstheme="minorHAnsi"/>
                <w:sz w:val="18"/>
                <w:szCs w:val="20"/>
              </w:rPr>
            </w:pPr>
            <w:r w:rsidRPr="00244231">
              <w:rPr>
                <w:rFonts w:ascii="Book Antiqua" w:hAnsi="Book Antiqua" w:cstheme="minorHAnsi"/>
                <w:sz w:val="18"/>
                <w:szCs w:val="20"/>
              </w:rPr>
              <w:t>Low: No other concerns</w:t>
            </w:r>
          </w:p>
        </w:tc>
      </w:tr>
      <w:tr w:rsidR="00676C79" w:rsidRPr="009571E5" w14:paraId="675F09F3" w14:textId="77777777" w:rsidTr="00676C79">
        <w:trPr>
          <w:trHeight w:val="1728"/>
        </w:trPr>
        <w:tc>
          <w:tcPr>
            <w:tcW w:w="1701" w:type="dxa"/>
            <w:tcBorders>
              <w:top w:val="nil"/>
              <w:left w:val="nil"/>
              <w:bottom w:val="nil"/>
              <w:right w:val="nil"/>
            </w:tcBorders>
            <w:hideMark/>
          </w:tcPr>
          <w:p w14:paraId="0A4922A9" w14:textId="77777777" w:rsidR="00356CED" w:rsidRPr="00244231" w:rsidRDefault="00356CED" w:rsidP="00176647">
            <w:pPr>
              <w:spacing w:line="360" w:lineRule="auto"/>
              <w:ind w:hanging="108"/>
              <w:rPr>
                <w:rFonts w:ascii="Book Antiqua" w:hAnsi="Book Antiqua" w:cstheme="minorHAnsi"/>
                <w:b/>
                <w:bCs/>
                <w:sz w:val="18"/>
                <w:szCs w:val="20"/>
              </w:rPr>
            </w:pPr>
            <w:r w:rsidRPr="00244231">
              <w:rPr>
                <w:rFonts w:ascii="Book Antiqua" w:hAnsi="Book Antiqua" w:cstheme="minorHAnsi"/>
                <w:b/>
                <w:bCs/>
                <w:sz w:val="18"/>
                <w:szCs w:val="20"/>
              </w:rPr>
              <w:t>Jamil 2004</w:t>
            </w:r>
            <w:r w:rsidR="00176647">
              <w:rPr>
                <w:rFonts w:ascii="Book Antiqua" w:hAnsi="Book Antiqua" w:cstheme="minorHAnsi"/>
                <w:b/>
                <w:bCs/>
                <w:sz w:val="18"/>
                <w:szCs w:val="20"/>
              </w:rPr>
              <w:t>[23]</w:t>
            </w:r>
          </w:p>
        </w:tc>
        <w:tc>
          <w:tcPr>
            <w:tcW w:w="2127" w:type="dxa"/>
            <w:tcBorders>
              <w:top w:val="nil"/>
              <w:left w:val="nil"/>
              <w:bottom w:val="nil"/>
              <w:right w:val="nil"/>
            </w:tcBorders>
            <w:hideMark/>
          </w:tcPr>
          <w:p w14:paraId="32C35EEC"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High risk – The method of randomization was not described, and there is no mention of allocation concealment.</w:t>
            </w:r>
          </w:p>
        </w:tc>
        <w:tc>
          <w:tcPr>
            <w:tcW w:w="1984" w:type="dxa"/>
            <w:tcBorders>
              <w:top w:val="nil"/>
              <w:left w:val="nil"/>
              <w:bottom w:val="nil"/>
              <w:right w:val="nil"/>
            </w:tcBorders>
            <w:hideMark/>
          </w:tcPr>
          <w:p w14:paraId="0C1D600D"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Some concerns – No mention of blinding; deviation from intended interventions may have occurred due to lack of masking.</w:t>
            </w:r>
          </w:p>
        </w:tc>
        <w:tc>
          <w:tcPr>
            <w:tcW w:w="1985" w:type="dxa"/>
            <w:tcBorders>
              <w:top w:val="nil"/>
              <w:left w:val="nil"/>
              <w:bottom w:val="nil"/>
              <w:right w:val="nil"/>
            </w:tcBorders>
            <w:hideMark/>
          </w:tcPr>
          <w:p w14:paraId="5DFA7DCE"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Low risk – All 33 patients were accounted for, and outcomes were reported.</w:t>
            </w:r>
          </w:p>
        </w:tc>
        <w:tc>
          <w:tcPr>
            <w:tcW w:w="1984" w:type="dxa"/>
            <w:tcBorders>
              <w:top w:val="nil"/>
              <w:left w:val="nil"/>
              <w:bottom w:val="nil"/>
              <w:right w:val="nil"/>
            </w:tcBorders>
            <w:hideMark/>
          </w:tcPr>
          <w:p w14:paraId="6DB932AE"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Some concerns – Unclear whether outcome assessors were blinded; subjective outcomes (e.g., fistula closure time) could be biased.</w:t>
            </w:r>
          </w:p>
        </w:tc>
        <w:tc>
          <w:tcPr>
            <w:tcW w:w="2268" w:type="dxa"/>
            <w:tcBorders>
              <w:top w:val="nil"/>
              <w:left w:val="nil"/>
              <w:bottom w:val="nil"/>
              <w:right w:val="nil"/>
            </w:tcBorders>
            <w:hideMark/>
          </w:tcPr>
          <w:p w14:paraId="74DA3E29"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Some concerns – No protocol or trial registration available; potential for selective reporting.</w:t>
            </w:r>
          </w:p>
        </w:tc>
        <w:tc>
          <w:tcPr>
            <w:tcW w:w="2268" w:type="dxa"/>
            <w:tcBorders>
              <w:top w:val="nil"/>
              <w:left w:val="nil"/>
              <w:bottom w:val="nil"/>
              <w:right w:val="nil"/>
            </w:tcBorders>
            <w:hideMark/>
          </w:tcPr>
          <w:p w14:paraId="738F9BF5"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High risk – Small sample size, single center, no power calculation, and cost outcomes not standardized.</w:t>
            </w:r>
          </w:p>
        </w:tc>
      </w:tr>
      <w:tr w:rsidR="00676C79" w:rsidRPr="009571E5" w14:paraId="3EABF292" w14:textId="77777777" w:rsidTr="00676C79">
        <w:trPr>
          <w:trHeight w:val="1656"/>
        </w:trPr>
        <w:tc>
          <w:tcPr>
            <w:tcW w:w="1701" w:type="dxa"/>
            <w:tcBorders>
              <w:top w:val="nil"/>
              <w:left w:val="nil"/>
              <w:bottom w:val="nil"/>
              <w:right w:val="nil"/>
            </w:tcBorders>
            <w:hideMark/>
          </w:tcPr>
          <w:p w14:paraId="440DAA89" w14:textId="77777777" w:rsidR="00356CED" w:rsidRPr="003B45DA" w:rsidRDefault="00356CED" w:rsidP="00176647">
            <w:pPr>
              <w:ind w:hanging="108"/>
              <w:rPr>
                <w:rFonts w:ascii="Book Antiqua" w:hAnsi="Book Antiqua"/>
                <w:b/>
                <w:sz w:val="18"/>
              </w:rPr>
            </w:pPr>
            <w:r w:rsidRPr="003B45DA">
              <w:rPr>
                <w:rFonts w:ascii="Book Antiqua" w:hAnsi="Book Antiqua"/>
                <w:b/>
                <w:sz w:val="18"/>
              </w:rPr>
              <w:lastRenderedPageBreak/>
              <w:t>Gayral, 2009</w:t>
            </w:r>
            <w:r w:rsidR="00176647">
              <w:rPr>
                <w:rFonts w:ascii="Book Antiqua" w:hAnsi="Book Antiqua"/>
                <w:b/>
                <w:sz w:val="18"/>
              </w:rPr>
              <w:t>[7]</w:t>
            </w:r>
          </w:p>
        </w:tc>
        <w:tc>
          <w:tcPr>
            <w:tcW w:w="2127" w:type="dxa"/>
            <w:tcBorders>
              <w:top w:val="nil"/>
              <w:left w:val="nil"/>
              <w:bottom w:val="nil"/>
              <w:right w:val="nil"/>
            </w:tcBorders>
            <w:hideMark/>
          </w:tcPr>
          <w:p w14:paraId="5B541BE4" w14:textId="77777777" w:rsidR="00356CED" w:rsidRPr="002633B1" w:rsidRDefault="00356CED" w:rsidP="00997BCF">
            <w:pPr>
              <w:rPr>
                <w:rFonts w:ascii="Book Antiqua" w:hAnsi="Book Antiqua"/>
                <w:sz w:val="18"/>
                <w:lang w:val="en-US"/>
              </w:rPr>
            </w:pPr>
            <w:r w:rsidRPr="002633B1">
              <w:rPr>
                <w:rFonts w:ascii="Book Antiqua" w:hAnsi="Book Antiqua"/>
                <w:sz w:val="18"/>
                <w:lang w:val="en-US"/>
              </w:rPr>
              <w:t>Some concerns: Centralized randomization stratified by fistula location, but no details on sequence generation or allocation concealment</w:t>
            </w:r>
          </w:p>
        </w:tc>
        <w:tc>
          <w:tcPr>
            <w:tcW w:w="1984" w:type="dxa"/>
            <w:tcBorders>
              <w:top w:val="nil"/>
              <w:left w:val="nil"/>
              <w:bottom w:val="nil"/>
              <w:right w:val="nil"/>
            </w:tcBorders>
            <w:hideMark/>
          </w:tcPr>
          <w:p w14:paraId="44BED6AA" w14:textId="5949A773" w:rsidR="003E3245" w:rsidRPr="002633B1" w:rsidRDefault="00356CED" w:rsidP="00997BCF">
            <w:pPr>
              <w:rPr>
                <w:rFonts w:ascii="Book Antiqua" w:hAnsi="Book Antiqua"/>
                <w:sz w:val="18"/>
                <w:lang w:val="en-US"/>
              </w:rPr>
            </w:pPr>
            <w:r w:rsidRPr="002633B1">
              <w:rPr>
                <w:rFonts w:ascii="Book Antiqua" w:hAnsi="Book Antiqua"/>
                <w:sz w:val="18"/>
                <w:lang w:val="en-US"/>
              </w:rPr>
              <w:t>Low (primary endpoint): Double-blind phase and ITT analysis protect primary endpoint; Some concerns (secondary endpoints): Open-label phase may introduce performance bias</w:t>
            </w:r>
          </w:p>
        </w:tc>
        <w:tc>
          <w:tcPr>
            <w:tcW w:w="1985" w:type="dxa"/>
            <w:tcBorders>
              <w:top w:val="nil"/>
              <w:left w:val="nil"/>
              <w:bottom w:val="nil"/>
              <w:right w:val="nil"/>
            </w:tcBorders>
            <w:hideMark/>
          </w:tcPr>
          <w:p w14:paraId="683E139E" w14:textId="77777777" w:rsidR="00356CED" w:rsidRPr="002633B1" w:rsidRDefault="00356CED" w:rsidP="00997BCF">
            <w:pPr>
              <w:rPr>
                <w:rFonts w:ascii="Book Antiqua" w:hAnsi="Book Antiqua"/>
                <w:sz w:val="18"/>
                <w:lang w:val="en-US"/>
              </w:rPr>
            </w:pPr>
            <w:r w:rsidRPr="002633B1">
              <w:rPr>
                <w:rFonts w:ascii="Book Antiqua" w:hAnsi="Book Antiqua"/>
                <w:sz w:val="18"/>
                <w:lang w:val="en-US"/>
              </w:rPr>
              <w:t>Low: Minimal missing data (4/111), appropriate handling with censoring</w:t>
            </w:r>
          </w:p>
        </w:tc>
        <w:tc>
          <w:tcPr>
            <w:tcW w:w="1984" w:type="dxa"/>
            <w:tcBorders>
              <w:top w:val="nil"/>
              <w:left w:val="nil"/>
              <w:bottom w:val="nil"/>
              <w:right w:val="nil"/>
            </w:tcBorders>
            <w:hideMark/>
          </w:tcPr>
          <w:p w14:paraId="308388C3" w14:textId="77777777" w:rsidR="00356CED" w:rsidRPr="002633B1" w:rsidRDefault="00356CED" w:rsidP="00997BCF">
            <w:pPr>
              <w:rPr>
                <w:rFonts w:ascii="Book Antiqua" w:hAnsi="Book Antiqua"/>
                <w:sz w:val="18"/>
                <w:lang w:val="en-US"/>
              </w:rPr>
            </w:pPr>
            <w:r w:rsidRPr="002633B1">
              <w:rPr>
                <w:rFonts w:ascii="Book Antiqua" w:hAnsi="Book Antiqua"/>
                <w:sz w:val="18"/>
                <w:lang w:val="en-US"/>
              </w:rPr>
              <w:t>Low: Objective outcomes, double-blind for primary endpoint</w:t>
            </w:r>
          </w:p>
        </w:tc>
        <w:tc>
          <w:tcPr>
            <w:tcW w:w="2268" w:type="dxa"/>
            <w:tcBorders>
              <w:top w:val="nil"/>
              <w:left w:val="nil"/>
              <w:bottom w:val="nil"/>
              <w:right w:val="nil"/>
            </w:tcBorders>
            <w:hideMark/>
          </w:tcPr>
          <w:p w14:paraId="41227E0D" w14:textId="77777777" w:rsidR="00356CED" w:rsidRPr="002633B1" w:rsidRDefault="00356CED" w:rsidP="00997BCF">
            <w:pPr>
              <w:rPr>
                <w:rFonts w:ascii="Book Antiqua" w:hAnsi="Book Antiqua"/>
                <w:sz w:val="18"/>
                <w:lang w:val="en-US"/>
              </w:rPr>
            </w:pPr>
            <w:r w:rsidRPr="002633B1">
              <w:rPr>
                <w:rFonts w:ascii="Book Antiqua" w:hAnsi="Book Antiqua"/>
                <w:sz w:val="18"/>
                <w:lang w:val="en-US"/>
              </w:rPr>
              <w:t>Some concerns: All outcomes reported, but protocol unavailable</w:t>
            </w:r>
          </w:p>
        </w:tc>
        <w:tc>
          <w:tcPr>
            <w:tcW w:w="2268" w:type="dxa"/>
            <w:tcBorders>
              <w:top w:val="nil"/>
              <w:left w:val="nil"/>
              <w:bottom w:val="nil"/>
              <w:right w:val="nil"/>
            </w:tcBorders>
            <w:hideMark/>
          </w:tcPr>
          <w:p w14:paraId="634A9110" w14:textId="77777777" w:rsidR="00356CED" w:rsidRPr="002633B1" w:rsidRDefault="00356CED" w:rsidP="00997BCF">
            <w:pPr>
              <w:rPr>
                <w:rFonts w:ascii="Book Antiqua" w:hAnsi="Book Antiqua"/>
                <w:sz w:val="18"/>
                <w:lang w:val="en-US"/>
              </w:rPr>
            </w:pPr>
            <w:r w:rsidRPr="002633B1">
              <w:rPr>
                <w:rFonts w:ascii="Book Antiqua" w:hAnsi="Book Antiqua"/>
                <w:sz w:val="18"/>
                <w:lang w:val="en-US"/>
              </w:rPr>
              <w:t>Some concerns: Potential industry influence, though robust design mitigates major concerns</w:t>
            </w:r>
          </w:p>
        </w:tc>
      </w:tr>
      <w:tr w:rsidR="00676C79" w:rsidRPr="006E3C81" w14:paraId="6B916B8D" w14:textId="77777777" w:rsidTr="00676C79">
        <w:trPr>
          <w:trHeight w:val="864"/>
        </w:trPr>
        <w:tc>
          <w:tcPr>
            <w:tcW w:w="1701" w:type="dxa"/>
            <w:tcBorders>
              <w:top w:val="nil"/>
              <w:left w:val="nil"/>
              <w:bottom w:val="single" w:sz="4" w:space="0" w:color="auto"/>
              <w:right w:val="nil"/>
            </w:tcBorders>
            <w:hideMark/>
          </w:tcPr>
          <w:p w14:paraId="6585AA1F" w14:textId="77777777" w:rsidR="00356CED" w:rsidRPr="00244231" w:rsidRDefault="00356CED" w:rsidP="00997BCF">
            <w:pPr>
              <w:spacing w:line="360" w:lineRule="auto"/>
              <w:ind w:hanging="108"/>
              <w:rPr>
                <w:rFonts w:ascii="Book Antiqua" w:hAnsi="Book Antiqua" w:cstheme="minorHAnsi"/>
                <w:b/>
                <w:bCs/>
                <w:sz w:val="18"/>
                <w:szCs w:val="20"/>
              </w:rPr>
            </w:pPr>
            <w:r w:rsidRPr="00244231">
              <w:rPr>
                <w:rFonts w:ascii="Book Antiqua" w:hAnsi="Book Antiqua" w:cstheme="minorHAnsi"/>
                <w:b/>
                <w:bCs/>
                <w:sz w:val="18"/>
                <w:szCs w:val="20"/>
              </w:rPr>
              <w:t>Timmer 2024</w:t>
            </w:r>
            <w:r>
              <w:rPr>
                <w:rFonts w:ascii="Book Antiqua" w:hAnsi="Book Antiqua" w:cstheme="minorHAnsi"/>
                <w:b/>
                <w:bCs/>
                <w:sz w:val="18"/>
                <w:szCs w:val="20"/>
              </w:rPr>
              <w:fldChar w:fldCharType="begin"/>
            </w:r>
            <w:r>
              <w:rPr>
                <w:rFonts w:ascii="Book Antiqua" w:hAnsi="Book Antiqua" w:cstheme="minorHAnsi"/>
                <w:b/>
                <w:bCs/>
                <w:sz w:val="18"/>
                <w:szCs w:val="20"/>
              </w:rPr>
              <w:instrText xml:space="preserve"> ADDIN ZOTERO_ITEM CSL_CITATION {"citationID":"yrT7omef","properties":{"formattedCitation":"[24]","plainCitation":"[24]","noteIndex":0},"citationItems":[{"id":1309,"uris":["http://zotero.org/users/16433235/items/4ATWSQRC"],"itemData":{"id":1309,"type":"article-journal","abstract":"Background: High-output intestinal fistulas and small bowel enterostomies are associated with morbidity and mortality. Current standard treatment for output reduction consists of fluid and dietary restrictions and medical therapy. There is conflicting evidence regarding the use of somatostatin analogues for output reduction. Aim: The aim of this study is to investigate whether lanreotide, added to current standard treatment, further reduces intestinal output in patients with high-output fistulas and enterostomies.\nMethods: This was an open-label, multicentre, randomised controlled trial. Adult patients with a high-output intestinal fistula (&gt;500 mL/24 h) or small bowel enterostomy (&gt;1500 mL/24 h) more than 4 weeks post-surgery and receiving standard medical treatment (dietary- and fluid restriction, PPI, loperamide and codeine) for at least 2 weeks were eligible for inclusion. We randomised patients 1:1 between continuing standard treatment (control), and subcutaneous lanreotide 120 mg every 4 weeks with standard treatment. The primary outcome was the number of responders, with response defined as an output reduction of ≥25%, 8 weeks after randomisation. We also investigated the proportional change in output.\nResults: We randomised 40 patients; 17 had a fistula and 23 a small bowel enterostomy. There were 9/20 responders in the intervention group and 2/20 in the control group (p = 0.013). The proportional output reduction was −26% (IQR −4 to −38) in the intervention group, compared to an increase of 4% (IQR 20 to −13) in the control group (p = 0.004).\nConclusions: In patients with a high-output fistula or small bowel enterostomy, addition of lanreotide to current standard treatment can provide a clinically relevant output reduction.","container-title":"Alimentary Pharmacology &amp; Therapeutics","DOI":"10.1111/apt.18166","ISSN":"0269-2813, 1365-2036","issue":"6","journalAbbreviation":"Aliment Pharmacol Ther","language":"en","license":"http://creativecommons.org/licenses/by-nc/4.0/","note":"publisher: Wiley","page":"727-736","source":"Crossref","title":"Clinical trial: The effectiveness of long</w:instrText>
            </w:r>
            <w:r>
              <w:rPr>
                <w:rFonts w:ascii="Times New Roman" w:hAnsi="Times New Roman" w:cs="Times New Roman"/>
                <w:b/>
                <w:bCs/>
                <w:sz w:val="18"/>
                <w:szCs w:val="20"/>
              </w:rPr>
              <w:instrText>‐</w:instrText>
            </w:r>
            <w:r>
              <w:rPr>
                <w:rFonts w:ascii="Book Antiqua" w:hAnsi="Book Antiqua" w:cstheme="minorHAnsi"/>
                <w:b/>
                <w:bCs/>
                <w:sz w:val="18"/>
                <w:szCs w:val="20"/>
              </w:rPr>
              <w:instrText>acting somatostatin analogue for output reduction of high</w:instrText>
            </w:r>
            <w:r>
              <w:rPr>
                <w:rFonts w:ascii="Times New Roman" w:hAnsi="Times New Roman" w:cs="Times New Roman"/>
                <w:b/>
                <w:bCs/>
                <w:sz w:val="18"/>
                <w:szCs w:val="20"/>
              </w:rPr>
              <w:instrText>‐</w:instrText>
            </w:r>
            <w:r>
              <w:rPr>
                <w:rFonts w:ascii="Book Antiqua" w:hAnsi="Book Antiqua" w:cstheme="minorHAnsi"/>
                <w:b/>
                <w:bCs/>
                <w:sz w:val="18"/>
                <w:szCs w:val="20"/>
              </w:rPr>
              <w:instrText xml:space="preserve">output intestinal fistula or small bowel enterostomy. A randomised controlled trial","title-short":"Clinical trial","volume":"60","author":[{"family":"Timmer","given":"Allard S."},{"family":"De Vries","given":"Fleur"},{"family":"Gans","given":"Sarah L."},{"family":"Zwanenburg","given":"Pieter R."},{"family":"Bemelman","given":"Willem A."},{"family":"Dijkgraaf","given":"Marcel G. W."},{"family":"Dijkstra","given":"Gerard"},{"family":"Van Der Heide","given":"Frans"},{"family":"Haveman","given":"Jan Willem"},{"family":"Serlie","given":"Mireille J."},{"family":"Boermeester","given":"Marja A."}],"issued":{"date-parts":[["2024",9]]}}}],"schema":"https://github.com/citation-style-language/schema/raw/master/csl-citation.json"} </w:instrText>
            </w:r>
            <w:r>
              <w:rPr>
                <w:rFonts w:ascii="Book Antiqua" w:hAnsi="Book Antiqua" w:cstheme="minorHAnsi"/>
                <w:b/>
                <w:bCs/>
                <w:sz w:val="18"/>
                <w:szCs w:val="20"/>
              </w:rPr>
              <w:fldChar w:fldCharType="separate"/>
            </w:r>
            <w:r w:rsidRPr="00E26729">
              <w:rPr>
                <w:rFonts w:ascii="Book Antiqua" w:hAnsi="Book Antiqua"/>
                <w:sz w:val="18"/>
              </w:rPr>
              <w:t>[24]</w:t>
            </w:r>
            <w:r>
              <w:rPr>
                <w:rFonts w:ascii="Book Antiqua" w:hAnsi="Book Antiqua" w:cstheme="minorHAnsi"/>
                <w:b/>
                <w:bCs/>
                <w:sz w:val="18"/>
                <w:szCs w:val="20"/>
              </w:rPr>
              <w:fldChar w:fldCharType="end"/>
            </w:r>
          </w:p>
        </w:tc>
        <w:tc>
          <w:tcPr>
            <w:tcW w:w="2127" w:type="dxa"/>
            <w:tcBorders>
              <w:top w:val="nil"/>
              <w:left w:val="nil"/>
              <w:bottom w:val="single" w:sz="4" w:space="0" w:color="auto"/>
              <w:right w:val="nil"/>
            </w:tcBorders>
            <w:hideMark/>
          </w:tcPr>
          <w:p w14:paraId="53DC545B"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Low risk: Stratified randomization by fistula/enterostomy type.</w:t>
            </w:r>
          </w:p>
        </w:tc>
        <w:tc>
          <w:tcPr>
            <w:tcW w:w="1984" w:type="dxa"/>
            <w:tcBorders>
              <w:top w:val="nil"/>
              <w:left w:val="nil"/>
              <w:bottom w:val="single" w:sz="4" w:space="0" w:color="auto"/>
              <w:right w:val="nil"/>
            </w:tcBorders>
            <w:hideMark/>
          </w:tcPr>
          <w:p w14:paraId="469D12E1"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Some concerns: Open-label study (no blinding).</w:t>
            </w:r>
          </w:p>
        </w:tc>
        <w:tc>
          <w:tcPr>
            <w:tcW w:w="1985" w:type="dxa"/>
            <w:tcBorders>
              <w:top w:val="nil"/>
              <w:left w:val="nil"/>
              <w:bottom w:val="single" w:sz="4" w:space="0" w:color="auto"/>
              <w:right w:val="nil"/>
            </w:tcBorders>
            <w:hideMark/>
          </w:tcPr>
          <w:p w14:paraId="12EA2A31"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Low risk: Complete data for ITT analysis.</w:t>
            </w:r>
          </w:p>
        </w:tc>
        <w:tc>
          <w:tcPr>
            <w:tcW w:w="1984" w:type="dxa"/>
            <w:tcBorders>
              <w:top w:val="nil"/>
              <w:left w:val="nil"/>
              <w:bottom w:val="single" w:sz="4" w:space="0" w:color="auto"/>
              <w:right w:val="nil"/>
            </w:tcBorders>
            <w:hideMark/>
          </w:tcPr>
          <w:p w14:paraId="3C615538"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Low risk: Output measured objectively.</w:t>
            </w:r>
          </w:p>
        </w:tc>
        <w:tc>
          <w:tcPr>
            <w:tcW w:w="2268" w:type="dxa"/>
            <w:tcBorders>
              <w:top w:val="nil"/>
              <w:left w:val="nil"/>
              <w:bottom w:val="single" w:sz="4" w:space="0" w:color="auto"/>
              <w:right w:val="nil"/>
            </w:tcBorders>
            <w:hideMark/>
          </w:tcPr>
          <w:p w14:paraId="7D0F20C1"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Low risk: All pre-specified outcomes reported.</w:t>
            </w:r>
          </w:p>
        </w:tc>
        <w:tc>
          <w:tcPr>
            <w:tcW w:w="2268" w:type="dxa"/>
            <w:tcBorders>
              <w:top w:val="nil"/>
              <w:left w:val="nil"/>
              <w:bottom w:val="single" w:sz="4" w:space="0" w:color="auto"/>
              <w:right w:val="nil"/>
            </w:tcBorders>
            <w:hideMark/>
          </w:tcPr>
          <w:p w14:paraId="48687D08" w14:textId="77777777" w:rsidR="00356CED" w:rsidRPr="00244231" w:rsidRDefault="00356CED" w:rsidP="00997BCF">
            <w:pPr>
              <w:spacing w:line="360" w:lineRule="auto"/>
              <w:rPr>
                <w:rFonts w:ascii="Book Antiqua" w:hAnsi="Book Antiqua" w:cstheme="minorHAnsi"/>
                <w:sz w:val="18"/>
                <w:szCs w:val="20"/>
                <w:lang w:val="en-US"/>
              </w:rPr>
            </w:pPr>
            <w:r w:rsidRPr="00244231">
              <w:rPr>
                <w:rFonts w:ascii="Book Antiqua" w:hAnsi="Book Antiqua" w:cstheme="minorHAnsi"/>
                <w:sz w:val="18"/>
                <w:szCs w:val="20"/>
                <w:lang w:val="en-US"/>
              </w:rPr>
              <w:t>Some concerns: Partial industry funding (Ipsen).</w:t>
            </w:r>
          </w:p>
        </w:tc>
      </w:tr>
    </w:tbl>
    <w:p w14:paraId="44D803A6" w14:textId="77777777" w:rsidR="00676C79" w:rsidRDefault="00676C79" w:rsidP="00356CED">
      <w:pPr>
        <w:ind w:firstLine="1560"/>
        <w:rPr>
          <w:rFonts w:ascii="Book Antiqua" w:hAnsi="Book Antiqua"/>
          <w:b/>
          <w:lang w:val="en-US"/>
        </w:rPr>
      </w:pPr>
    </w:p>
    <w:p w14:paraId="2E10C1DC" w14:textId="77777777" w:rsidR="00676C79" w:rsidRDefault="00676C79" w:rsidP="00356CED">
      <w:pPr>
        <w:ind w:firstLine="1560"/>
        <w:rPr>
          <w:rFonts w:ascii="Book Antiqua" w:hAnsi="Book Antiqua"/>
          <w:b/>
          <w:lang w:val="en-US"/>
        </w:rPr>
      </w:pPr>
    </w:p>
    <w:p w14:paraId="294270D9" w14:textId="77777777" w:rsidR="000D1100" w:rsidRDefault="000D1100" w:rsidP="00356CED">
      <w:pPr>
        <w:ind w:firstLine="1560"/>
        <w:rPr>
          <w:rFonts w:ascii="Book Antiqua" w:hAnsi="Book Antiqua"/>
          <w:b/>
          <w:lang w:val="en-US"/>
        </w:rPr>
      </w:pPr>
    </w:p>
    <w:p w14:paraId="3578D04D" w14:textId="77777777" w:rsidR="000D1100" w:rsidRDefault="000D1100" w:rsidP="00356CED">
      <w:pPr>
        <w:ind w:firstLine="1560"/>
        <w:rPr>
          <w:rFonts w:ascii="Book Antiqua" w:hAnsi="Book Antiqua"/>
          <w:b/>
          <w:lang w:val="en-US"/>
        </w:rPr>
      </w:pPr>
    </w:p>
    <w:p w14:paraId="6B6AEF2B" w14:textId="77777777" w:rsidR="000D1100" w:rsidRDefault="000D1100" w:rsidP="00356CED">
      <w:pPr>
        <w:ind w:firstLine="1560"/>
        <w:rPr>
          <w:rFonts w:ascii="Book Antiqua" w:hAnsi="Book Antiqua"/>
          <w:b/>
          <w:lang w:val="en-US"/>
        </w:rPr>
      </w:pPr>
    </w:p>
    <w:p w14:paraId="53E9E47F" w14:textId="77777777" w:rsidR="00676C79" w:rsidRDefault="00676C79" w:rsidP="00356CED">
      <w:pPr>
        <w:ind w:firstLine="1560"/>
        <w:rPr>
          <w:rFonts w:ascii="Book Antiqua" w:hAnsi="Book Antiqua"/>
          <w:b/>
          <w:lang w:val="en-US"/>
        </w:rPr>
      </w:pPr>
    </w:p>
    <w:p w14:paraId="79A9CB2B" w14:textId="77777777" w:rsidR="00161F91" w:rsidRDefault="00161F91" w:rsidP="00356CED">
      <w:pPr>
        <w:ind w:firstLine="1560"/>
        <w:rPr>
          <w:rFonts w:ascii="Book Antiqua" w:hAnsi="Book Antiqua"/>
          <w:b/>
          <w:lang w:val="en-US"/>
        </w:rPr>
      </w:pPr>
    </w:p>
    <w:p w14:paraId="01E430D4" w14:textId="77777777" w:rsidR="00161F91" w:rsidRDefault="00161F91" w:rsidP="00356CED">
      <w:pPr>
        <w:ind w:firstLine="1560"/>
        <w:rPr>
          <w:rFonts w:ascii="Book Antiqua" w:hAnsi="Book Antiqua"/>
          <w:b/>
          <w:lang w:val="en-US"/>
        </w:rPr>
      </w:pPr>
    </w:p>
    <w:p w14:paraId="2A31E067" w14:textId="77777777" w:rsidR="00161F91" w:rsidRDefault="00161F91" w:rsidP="00356CED">
      <w:pPr>
        <w:ind w:firstLine="1560"/>
        <w:rPr>
          <w:rFonts w:ascii="Book Antiqua" w:hAnsi="Book Antiqua"/>
          <w:b/>
          <w:lang w:val="en-US"/>
        </w:rPr>
      </w:pPr>
    </w:p>
    <w:p w14:paraId="567A896A" w14:textId="77777777" w:rsidR="00161F91" w:rsidRDefault="00161F91" w:rsidP="00356CED">
      <w:pPr>
        <w:ind w:firstLine="1560"/>
        <w:rPr>
          <w:rFonts w:ascii="Book Antiqua" w:hAnsi="Book Antiqua"/>
          <w:b/>
          <w:lang w:val="en-US"/>
        </w:rPr>
      </w:pPr>
    </w:p>
    <w:p w14:paraId="4EEFB23B" w14:textId="0F305227" w:rsidR="00356CED" w:rsidRPr="00DA5BF4" w:rsidRDefault="00997BCF" w:rsidP="00356CED">
      <w:pPr>
        <w:ind w:firstLine="1560"/>
        <w:rPr>
          <w:rFonts w:ascii="Book Antiqua" w:hAnsi="Book Antiqua"/>
          <w:b/>
          <w:lang w:val="en-US"/>
        </w:rPr>
      </w:pPr>
      <w:r>
        <w:rPr>
          <w:rFonts w:ascii="Book Antiqua" w:hAnsi="Book Antiqua"/>
          <w:b/>
          <w:lang w:val="en-US"/>
        </w:rPr>
        <w:lastRenderedPageBreak/>
        <w:t xml:space="preserve">Supplementary </w:t>
      </w:r>
      <w:r w:rsidR="00161F91">
        <w:rPr>
          <w:rFonts w:ascii="Book Antiqua" w:hAnsi="Book Antiqua"/>
          <w:b/>
          <w:lang w:val="en-US"/>
        </w:rPr>
        <w:t xml:space="preserve">Table </w:t>
      </w:r>
      <w:r w:rsidR="005061A1">
        <w:rPr>
          <w:rFonts w:ascii="Book Antiqua" w:hAnsi="Book Antiqua"/>
          <w:b/>
          <w:lang w:val="en-US"/>
        </w:rPr>
        <w:t>3</w:t>
      </w:r>
      <w:r w:rsidR="00356CED" w:rsidRPr="00DA5BF4">
        <w:rPr>
          <w:rFonts w:ascii="Book Antiqua" w:hAnsi="Book Antiqua"/>
          <w:b/>
          <w:lang w:val="en-US"/>
        </w:rPr>
        <w:t xml:space="preserve"> Summary of </w:t>
      </w:r>
      <w:r w:rsidR="00161F91" w:rsidRPr="00DA5BF4">
        <w:rPr>
          <w:rFonts w:ascii="Book Antiqua" w:hAnsi="Book Antiqua"/>
          <w:b/>
          <w:lang w:val="en-US"/>
        </w:rPr>
        <w:t>qualitative publication bias assessment</w:t>
      </w:r>
    </w:p>
    <w:tbl>
      <w:tblPr>
        <w:tblW w:w="10632" w:type="dxa"/>
        <w:jc w:val="center"/>
        <w:tblLook w:val="04A0" w:firstRow="1" w:lastRow="0" w:firstColumn="1" w:lastColumn="0" w:noHBand="0" w:noVBand="1"/>
      </w:tblPr>
      <w:tblGrid>
        <w:gridCol w:w="2263"/>
        <w:gridCol w:w="6521"/>
        <w:gridCol w:w="1848"/>
      </w:tblGrid>
      <w:tr w:rsidR="00356CED" w:rsidRPr="00376A98" w14:paraId="65156559" w14:textId="77777777" w:rsidTr="000F5D05">
        <w:trPr>
          <w:jc w:val="center"/>
        </w:trPr>
        <w:tc>
          <w:tcPr>
            <w:tcW w:w="2263" w:type="dxa"/>
            <w:tcBorders>
              <w:top w:val="single" w:sz="4" w:space="0" w:color="auto"/>
              <w:bottom w:val="single" w:sz="4" w:space="0" w:color="auto"/>
            </w:tcBorders>
          </w:tcPr>
          <w:p w14:paraId="5C954FF5" w14:textId="77777777" w:rsidR="00356CED" w:rsidRPr="00376A98" w:rsidRDefault="00356CED" w:rsidP="00146B86">
            <w:pPr>
              <w:rPr>
                <w:rFonts w:ascii="Book Antiqua" w:hAnsi="Book Antiqua"/>
                <w:b/>
                <w:color w:val="000000" w:themeColor="text1"/>
                <w:sz w:val="18"/>
              </w:rPr>
            </w:pPr>
            <w:r w:rsidRPr="00376A98">
              <w:rPr>
                <w:rFonts w:ascii="Book Antiqua" w:hAnsi="Book Antiqua"/>
                <w:b/>
                <w:color w:val="000000" w:themeColor="text1"/>
                <w:sz w:val="18"/>
              </w:rPr>
              <w:t>Dimension</w:t>
            </w:r>
          </w:p>
        </w:tc>
        <w:tc>
          <w:tcPr>
            <w:tcW w:w="6521" w:type="dxa"/>
            <w:tcBorders>
              <w:top w:val="single" w:sz="4" w:space="0" w:color="auto"/>
              <w:bottom w:val="single" w:sz="4" w:space="0" w:color="auto"/>
            </w:tcBorders>
          </w:tcPr>
          <w:p w14:paraId="672951A1" w14:textId="77777777" w:rsidR="00356CED" w:rsidRPr="00376A98" w:rsidRDefault="00356CED" w:rsidP="00146B86">
            <w:pPr>
              <w:rPr>
                <w:rFonts w:ascii="Book Antiqua" w:hAnsi="Book Antiqua"/>
                <w:b/>
                <w:color w:val="000000" w:themeColor="text1"/>
                <w:sz w:val="18"/>
              </w:rPr>
            </w:pPr>
            <w:r w:rsidRPr="00376A98">
              <w:rPr>
                <w:rFonts w:ascii="Book Antiqua" w:hAnsi="Book Antiqua"/>
                <w:b/>
                <w:color w:val="000000" w:themeColor="text1"/>
                <w:sz w:val="18"/>
              </w:rPr>
              <w:t>Key Findings</w:t>
            </w:r>
          </w:p>
        </w:tc>
        <w:tc>
          <w:tcPr>
            <w:tcW w:w="1848" w:type="dxa"/>
            <w:tcBorders>
              <w:top w:val="single" w:sz="4" w:space="0" w:color="auto"/>
              <w:bottom w:val="single" w:sz="4" w:space="0" w:color="auto"/>
            </w:tcBorders>
          </w:tcPr>
          <w:p w14:paraId="372D6F58" w14:textId="77777777" w:rsidR="00356CED" w:rsidRPr="00376A98" w:rsidRDefault="00356CED" w:rsidP="00146B86">
            <w:pPr>
              <w:rPr>
                <w:rFonts w:ascii="Book Antiqua" w:hAnsi="Book Antiqua"/>
                <w:b/>
                <w:color w:val="000000" w:themeColor="text1"/>
                <w:sz w:val="18"/>
              </w:rPr>
            </w:pPr>
            <w:r w:rsidRPr="00376A98">
              <w:rPr>
                <w:rFonts w:ascii="Book Antiqua" w:hAnsi="Book Antiqua"/>
                <w:b/>
                <w:color w:val="000000" w:themeColor="text1"/>
                <w:sz w:val="18"/>
              </w:rPr>
              <w:t>Level of Concern</w:t>
            </w:r>
          </w:p>
        </w:tc>
      </w:tr>
      <w:tr w:rsidR="00356CED" w:rsidRPr="00376A98" w14:paraId="1C1C503A" w14:textId="77777777" w:rsidTr="000F5D05">
        <w:trPr>
          <w:jc w:val="center"/>
        </w:trPr>
        <w:tc>
          <w:tcPr>
            <w:tcW w:w="2263" w:type="dxa"/>
            <w:tcBorders>
              <w:top w:val="single" w:sz="4" w:space="0" w:color="auto"/>
            </w:tcBorders>
          </w:tcPr>
          <w:p w14:paraId="00DDF422" w14:textId="77777777" w:rsidR="00356CED" w:rsidRPr="00376A98" w:rsidRDefault="00356CED" w:rsidP="00146B86">
            <w:pPr>
              <w:rPr>
                <w:rFonts w:ascii="Book Antiqua" w:hAnsi="Book Antiqua"/>
                <w:b/>
                <w:color w:val="000000" w:themeColor="text1"/>
                <w:sz w:val="18"/>
              </w:rPr>
            </w:pPr>
            <w:r w:rsidRPr="00376A98">
              <w:rPr>
                <w:rFonts w:ascii="Book Antiqua" w:hAnsi="Book Antiqua"/>
                <w:b/>
                <w:color w:val="000000" w:themeColor="text1"/>
                <w:sz w:val="18"/>
              </w:rPr>
              <w:t>Small-Study Effects</w:t>
            </w:r>
          </w:p>
        </w:tc>
        <w:tc>
          <w:tcPr>
            <w:tcW w:w="6521" w:type="dxa"/>
            <w:tcBorders>
              <w:top w:val="single" w:sz="4" w:space="0" w:color="auto"/>
            </w:tcBorders>
          </w:tcPr>
          <w:p w14:paraId="5DEB65EF" w14:textId="4BCC6A53" w:rsidR="000D1100" w:rsidRPr="00DA5BF4" w:rsidRDefault="00356CED" w:rsidP="00146B86">
            <w:pPr>
              <w:rPr>
                <w:rFonts w:ascii="Book Antiqua" w:hAnsi="Book Antiqua"/>
                <w:color w:val="000000" w:themeColor="text1"/>
                <w:sz w:val="18"/>
                <w:lang w:val="en-US"/>
              </w:rPr>
            </w:pPr>
            <w:r w:rsidRPr="00DA5BF4">
              <w:rPr>
                <w:rFonts w:ascii="Book Antiqua" w:hAnsi="Book Antiqua"/>
                <w:color w:val="000000" w:themeColor="text1"/>
                <w:sz w:val="18"/>
                <w:lang w:val="en-US"/>
              </w:rPr>
              <w:t>Small studies (e.g., Sancho 1995</w:t>
            </w:r>
            <w:r>
              <w:rPr>
                <w:rFonts w:ascii="Book Antiqua" w:hAnsi="Book Antiqua"/>
                <w:color w:val="000000" w:themeColor="text1"/>
                <w:sz w:val="18"/>
                <w:lang w:val="en-US"/>
              </w:rPr>
              <w:fldChar w:fldCharType="begin"/>
            </w:r>
            <w:r>
              <w:rPr>
                <w:rFonts w:ascii="Book Antiqua" w:hAnsi="Book Antiqua"/>
                <w:color w:val="000000" w:themeColor="text1"/>
                <w:sz w:val="18"/>
                <w:lang w:val="en-US"/>
              </w:rPr>
              <w:instrText xml:space="preserve"> ADDIN ZOTERO_ITEM CSL_CITATION {"citationID":"l62u6NuE","properties":{"formattedCitation":"[21]","plainCitation":"[21]","noteIndex":0},"citationItems":[{"id":1308,"uris":["http://zotero.org/users/16433235/items/CMLIZD7R"],"itemData":{"id":1308,"type":"article-journal","abstract":"Abstract               Somatostatin and octreotide both enhance closure of gastrointestinal fistulas. The present trial was undertaken to test whether early combined treatment with parenteral nutrition and octreotide 100 μg every 8 h by subcutaneous injection had a beneficial effect compared with parenteral nutrition plus placebo. Thirty-one patients with postoperative gastrointestinal or pancreatic fistula were randomly assigned to receive parenteral nutrition plus octreotide (14 patients) or placebo (17) within 8 days of fistula onset. The percentage reduction in output and rate of spontaneous closure within 20 days were analysed. Mean(s.d.) reduction in output was similar after octreotide and placebo at 24 h (66(43) versus 68(47) per cent, P = 0.9), 48 h (60(46) versus 57(43) per cent, P = 0.8) and 72 h (62(50) versus 66(49) per cent, P = 0.9) after starting the combined treatment. Closure within 20 days was observed in eight of 14 fistulas in patients given octreotide and in six of 17 in those receiving placebo (P = 0.4). Administration of octreotide, within 8 days of fistula onset, associated with parenteral nutrition does not significantly increase the spontaneous fistula closure rate compared with parenteral nutrition plus placebo.","container-title":"Journal of British Surgery","DOI":"10.1002/bjs.1800820521","ISSN":"0007-1323, 1365-2168","issue":"5","language":"en","license":"https://academic.oup.com/journals/pages/open_access/funder_policies/chorus/standard_publication_model","note":"publisher: Oxford University Press (OUP)","page":"638-641","source":"Crossref","title":"Randomized double-blind placebo-controlled trial of early octreotide in patients with postoperative enterocutaneous fistula","volume":"82","author":[{"family":"Sancho","given":"J J"},{"family":"Di Costanzo","given":"J"},{"family":"Nubiola","given":"P"},{"family":"Larrad","given":"A"},{"family":"Beguiristain","given":"A"},{"family":"Roqueta","given":"F"},{"family":"Franch","given":"G"},{"family":"Oliva","given":"A"},{"family":"Gubern","given":"J M"},{"family":"Sitges-Serra","given":"A"}],"issued":{"date-parts":[["1995",5,1]]}}}],"schema":"https://github.com/citation-style-language/schema/raw/master/csl-citation.json"} </w:instrText>
            </w:r>
            <w:r>
              <w:rPr>
                <w:rFonts w:ascii="Book Antiqua" w:hAnsi="Book Antiqua"/>
                <w:color w:val="000000" w:themeColor="text1"/>
                <w:sz w:val="18"/>
                <w:lang w:val="en-US"/>
              </w:rPr>
              <w:fldChar w:fldCharType="separate"/>
            </w:r>
            <w:r w:rsidRPr="00E26729">
              <w:rPr>
                <w:rFonts w:ascii="Book Antiqua" w:hAnsi="Book Antiqua"/>
                <w:sz w:val="18"/>
                <w:lang w:val="en-US"/>
              </w:rPr>
              <w:t>[21]</w:t>
            </w:r>
            <w:r>
              <w:rPr>
                <w:rFonts w:ascii="Book Antiqua" w:hAnsi="Book Antiqua"/>
                <w:color w:val="000000" w:themeColor="text1"/>
                <w:sz w:val="18"/>
                <w:lang w:val="en-US"/>
              </w:rPr>
              <w:fldChar w:fldCharType="end"/>
            </w:r>
            <w:r w:rsidRPr="00DA5BF4">
              <w:rPr>
                <w:rFonts w:ascii="Book Antiqua" w:hAnsi="Book Antiqua"/>
                <w:color w:val="000000" w:themeColor="text1"/>
                <w:sz w:val="18"/>
                <w:lang w:val="en-US"/>
              </w:rPr>
              <w:t>, n = 31) include non-significant results; no clear pattern of exaggerated effects.</w:t>
            </w:r>
          </w:p>
        </w:tc>
        <w:tc>
          <w:tcPr>
            <w:tcW w:w="1848" w:type="dxa"/>
            <w:tcBorders>
              <w:top w:val="single" w:sz="4" w:space="0" w:color="auto"/>
            </w:tcBorders>
          </w:tcPr>
          <w:p w14:paraId="2AB27AC3" w14:textId="77777777" w:rsidR="00356CED" w:rsidRPr="00376A98" w:rsidRDefault="00356CED" w:rsidP="00146B86">
            <w:pPr>
              <w:rPr>
                <w:rFonts w:ascii="Book Antiqua" w:hAnsi="Book Antiqua"/>
                <w:color w:val="000000" w:themeColor="text1"/>
                <w:sz w:val="18"/>
              </w:rPr>
            </w:pPr>
            <w:r w:rsidRPr="00376A98">
              <w:rPr>
                <w:rFonts w:ascii="Book Antiqua" w:hAnsi="Book Antiqua"/>
                <w:color w:val="000000" w:themeColor="text1"/>
                <w:sz w:val="18"/>
              </w:rPr>
              <w:t>Low</w:t>
            </w:r>
          </w:p>
        </w:tc>
      </w:tr>
      <w:tr w:rsidR="00356CED" w:rsidRPr="00176647" w14:paraId="2B3ED705" w14:textId="77777777" w:rsidTr="000F5D05">
        <w:trPr>
          <w:jc w:val="center"/>
        </w:trPr>
        <w:tc>
          <w:tcPr>
            <w:tcW w:w="2263" w:type="dxa"/>
          </w:tcPr>
          <w:p w14:paraId="053E7C31" w14:textId="77777777" w:rsidR="00356CED" w:rsidRPr="00DA5BF4" w:rsidRDefault="00356CED" w:rsidP="00146B86">
            <w:pPr>
              <w:rPr>
                <w:rFonts w:ascii="Book Antiqua" w:hAnsi="Book Antiqua"/>
                <w:b/>
                <w:color w:val="000000" w:themeColor="text1"/>
                <w:sz w:val="18"/>
                <w:lang w:val="en-US"/>
              </w:rPr>
            </w:pPr>
            <w:r w:rsidRPr="00DA5BF4">
              <w:rPr>
                <w:rFonts w:ascii="Book Antiqua" w:hAnsi="Book Antiqua"/>
                <w:b/>
                <w:color w:val="000000" w:themeColor="text1"/>
                <w:sz w:val="18"/>
                <w:lang w:val="en-US"/>
              </w:rPr>
              <w:t>Effect Size Distribution by Sample Size</w:t>
            </w:r>
          </w:p>
        </w:tc>
        <w:tc>
          <w:tcPr>
            <w:tcW w:w="6521" w:type="dxa"/>
          </w:tcPr>
          <w:p w14:paraId="492F2357" w14:textId="7C17D46B" w:rsidR="000D1100" w:rsidRPr="00DA5BF4" w:rsidRDefault="00356CED" w:rsidP="00176647">
            <w:pPr>
              <w:rPr>
                <w:rFonts w:ascii="Book Antiqua" w:hAnsi="Book Antiqua"/>
                <w:color w:val="000000" w:themeColor="text1"/>
                <w:sz w:val="18"/>
                <w:lang w:val="en-US"/>
              </w:rPr>
            </w:pPr>
            <w:r w:rsidRPr="00DA5BF4">
              <w:rPr>
                <w:rFonts w:ascii="Book Antiqua" w:hAnsi="Book Antiqua"/>
                <w:color w:val="000000" w:themeColor="text1"/>
                <w:sz w:val="18"/>
                <w:lang w:val="en-US"/>
              </w:rPr>
              <w:t>Mixed effects; smaller studies (e.g., Jamil 2004</w:t>
            </w:r>
            <w:r w:rsidR="00176647">
              <w:rPr>
                <w:rFonts w:ascii="Book Antiqua" w:hAnsi="Book Antiqua"/>
                <w:color w:val="000000" w:themeColor="text1"/>
                <w:sz w:val="18"/>
                <w:lang w:val="en-US"/>
              </w:rPr>
              <w:t>[23]</w:t>
            </w:r>
            <w:r w:rsidRPr="00DA5BF4">
              <w:rPr>
                <w:rFonts w:ascii="Book Antiqua" w:hAnsi="Book Antiqua"/>
                <w:color w:val="000000" w:themeColor="text1"/>
                <w:sz w:val="18"/>
                <w:lang w:val="en-US"/>
              </w:rPr>
              <w:t>) show modest benefits, while larger studies (e.g., Isenmann 1994</w:t>
            </w:r>
            <w:r>
              <w:rPr>
                <w:rFonts w:ascii="Book Antiqua" w:hAnsi="Book Antiqua"/>
                <w:color w:val="000000" w:themeColor="text1"/>
                <w:sz w:val="18"/>
                <w:lang w:val="en-US"/>
              </w:rPr>
              <w:t>[20]</w:t>
            </w:r>
            <w:r w:rsidRPr="00DA5BF4">
              <w:rPr>
                <w:rFonts w:ascii="Book Antiqua" w:hAnsi="Book Antiqua"/>
                <w:color w:val="000000" w:themeColor="text1"/>
                <w:sz w:val="18"/>
                <w:lang w:val="en-US"/>
              </w:rPr>
              <w:t>)</w:t>
            </w:r>
            <w:r>
              <w:rPr>
                <w:rFonts w:ascii="Book Antiqua" w:hAnsi="Book Antiqua"/>
                <w:color w:val="000000" w:themeColor="text1"/>
                <w:sz w:val="18"/>
                <w:lang w:val="en-US"/>
              </w:rPr>
              <w:t xml:space="preserve"> </w:t>
            </w:r>
            <w:r w:rsidRPr="00DA5BF4">
              <w:rPr>
                <w:rFonts w:ascii="Book Antiqua" w:hAnsi="Book Antiqua"/>
                <w:color w:val="000000" w:themeColor="text1"/>
                <w:sz w:val="18"/>
                <w:lang w:val="en-US"/>
              </w:rPr>
              <w:t xml:space="preserve"> report larger effects, but not consistently.</w:t>
            </w:r>
          </w:p>
        </w:tc>
        <w:tc>
          <w:tcPr>
            <w:tcW w:w="1848" w:type="dxa"/>
          </w:tcPr>
          <w:p w14:paraId="306B9BA5" w14:textId="77777777" w:rsidR="00356CED" w:rsidRPr="00176647" w:rsidRDefault="00356CED" w:rsidP="00146B86">
            <w:pPr>
              <w:rPr>
                <w:rFonts w:ascii="Book Antiqua" w:hAnsi="Book Antiqua"/>
                <w:color w:val="000000" w:themeColor="text1"/>
                <w:sz w:val="18"/>
                <w:lang w:val="en-US"/>
              </w:rPr>
            </w:pPr>
            <w:r w:rsidRPr="00176647">
              <w:rPr>
                <w:rFonts w:ascii="Book Antiqua" w:hAnsi="Book Antiqua"/>
                <w:color w:val="000000" w:themeColor="text1"/>
                <w:sz w:val="18"/>
                <w:lang w:val="en-US"/>
              </w:rPr>
              <w:t>Low</w:t>
            </w:r>
          </w:p>
        </w:tc>
      </w:tr>
      <w:tr w:rsidR="00356CED" w:rsidRPr="00376A98" w14:paraId="2845D70C" w14:textId="77777777" w:rsidTr="000F5D05">
        <w:trPr>
          <w:jc w:val="center"/>
        </w:trPr>
        <w:tc>
          <w:tcPr>
            <w:tcW w:w="2263" w:type="dxa"/>
          </w:tcPr>
          <w:p w14:paraId="24CB98A2" w14:textId="77777777" w:rsidR="00356CED" w:rsidRPr="00176647" w:rsidRDefault="00356CED" w:rsidP="00146B86">
            <w:pPr>
              <w:rPr>
                <w:rFonts w:ascii="Book Antiqua" w:hAnsi="Book Antiqua"/>
                <w:b/>
                <w:color w:val="000000" w:themeColor="text1"/>
                <w:sz w:val="18"/>
                <w:lang w:val="en-US"/>
              </w:rPr>
            </w:pPr>
            <w:r w:rsidRPr="00176647">
              <w:rPr>
                <w:rFonts w:ascii="Book Antiqua" w:hAnsi="Book Antiqua"/>
                <w:b/>
                <w:color w:val="000000" w:themeColor="text1"/>
                <w:sz w:val="18"/>
                <w:lang w:val="en-US"/>
              </w:rPr>
              <w:t>Temporal Distribution</w:t>
            </w:r>
          </w:p>
        </w:tc>
        <w:tc>
          <w:tcPr>
            <w:tcW w:w="6521" w:type="dxa"/>
          </w:tcPr>
          <w:p w14:paraId="31AB5312" w14:textId="393D025C" w:rsidR="000D1100" w:rsidRPr="00DA5BF4" w:rsidRDefault="00356CED" w:rsidP="00146B86">
            <w:pPr>
              <w:rPr>
                <w:rFonts w:ascii="Book Antiqua" w:hAnsi="Book Antiqua"/>
                <w:color w:val="000000" w:themeColor="text1"/>
                <w:sz w:val="18"/>
                <w:lang w:val="en-US"/>
              </w:rPr>
            </w:pPr>
            <w:r w:rsidRPr="00DA5BF4">
              <w:rPr>
                <w:rFonts w:ascii="Book Antiqua" w:hAnsi="Book Antiqua"/>
                <w:color w:val="000000" w:themeColor="text1"/>
                <w:sz w:val="18"/>
                <w:lang w:val="en-US"/>
              </w:rPr>
              <w:t>Studies from 1992 to 2024, concentrated in the 1990s with a gap from 2009 to 2024; neutral results from the 1990s reduce concern.</w:t>
            </w:r>
          </w:p>
        </w:tc>
        <w:tc>
          <w:tcPr>
            <w:tcW w:w="1848" w:type="dxa"/>
          </w:tcPr>
          <w:p w14:paraId="149EB9AD" w14:textId="77777777" w:rsidR="00356CED" w:rsidRPr="00376A98" w:rsidRDefault="00356CED" w:rsidP="00146B86">
            <w:pPr>
              <w:rPr>
                <w:rFonts w:ascii="Book Antiqua" w:hAnsi="Book Antiqua"/>
                <w:color w:val="000000" w:themeColor="text1"/>
                <w:sz w:val="18"/>
              </w:rPr>
            </w:pPr>
            <w:r w:rsidRPr="00376A98">
              <w:rPr>
                <w:rFonts w:ascii="Book Antiqua" w:hAnsi="Book Antiqua"/>
                <w:color w:val="000000" w:themeColor="text1"/>
                <w:sz w:val="18"/>
              </w:rPr>
              <w:t>Mild</w:t>
            </w:r>
          </w:p>
        </w:tc>
      </w:tr>
      <w:tr w:rsidR="00356CED" w:rsidRPr="00A56A83" w14:paraId="4E7F35F2" w14:textId="77777777" w:rsidTr="000F5D05">
        <w:trPr>
          <w:jc w:val="center"/>
        </w:trPr>
        <w:tc>
          <w:tcPr>
            <w:tcW w:w="2263" w:type="dxa"/>
          </w:tcPr>
          <w:p w14:paraId="1A57BFDA" w14:textId="77777777" w:rsidR="00356CED" w:rsidRPr="00376A98" w:rsidRDefault="00356CED" w:rsidP="00146B86">
            <w:pPr>
              <w:rPr>
                <w:rFonts w:ascii="Book Antiqua" w:hAnsi="Book Antiqua"/>
                <w:b/>
                <w:color w:val="000000" w:themeColor="text1"/>
                <w:sz w:val="18"/>
              </w:rPr>
            </w:pPr>
            <w:r w:rsidRPr="00376A98">
              <w:rPr>
                <w:rFonts w:ascii="Book Antiqua" w:hAnsi="Book Antiqua"/>
                <w:b/>
                <w:color w:val="000000" w:themeColor="text1"/>
                <w:sz w:val="18"/>
              </w:rPr>
              <w:t>Geographic Pattern</w:t>
            </w:r>
          </w:p>
        </w:tc>
        <w:tc>
          <w:tcPr>
            <w:tcW w:w="6521" w:type="dxa"/>
          </w:tcPr>
          <w:p w14:paraId="3367D587" w14:textId="74905611" w:rsidR="000D1100" w:rsidRPr="00DA5BF4" w:rsidRDefault="00356CED" w:rsidP="00146B86">
            <w:pPr>
              <w:rPr>
                <w:rFonts w:ascii="Book Antiqua" w:hAnsi="Book Antiqua"/>
                <w:color w:val="000000" w:themeColor="text1"/>
                <w:sz w:val="18"/>
                <w:lang w:val="en-US"/>
              </w:rPr>
            </w:pPr>
            <w:r w:rsidRPr="00DA5BF4">
              <w:rPr>
                <w:rFonts w:ascii="Book Antiqua" w:hAnsi="Book Antiqua"/>
                <w:color w:val="000000" w:themeColor="text1"/>
                <w:sz w:val="18"/>
                <w:lang w:val="en-US"/>
              </w:rPr>
              <w:t>Diverse origins (</w:t>
            </w:r>
            <w:r>
              <w:rPr>
                <w:rFonts w:ascii="Book Antiqua" w:hAnsi="Book Antiqua"/>
                <w:color w:val="000000" w:themeColor="text1"/>
                <w:sz w:val="18"/>
                <w:lang w:val="en-US"/>
              </w:rPr>
              <w:t>Mexico, Spain, Italy</w:t>
            </w:r>
            <w:r w:rsidRPr="00DA5BF4">
              <w:rPr>
                <w:rFonts w:ascii="Book Antiqua" w:hAnsi="Book Antiqua"/>
                <w:color w:val="000000" w:themeColor="text1"/>
                <w:sz w:val="18"/>
                <w:lang w:val="en-US"/>
              </w:rPr>
              <w:t xml:space="preserve">, Pakistan, </w:t>
            </w:r>
            <w:r>
              <w:rPr>
                <w:rFonts w:ascii="Book Antiqua" w:hAnsi="Book Antiqua"/>
                <w:color w:val="000000" w:themeColor="text1"/>
                <w:sz w:val="18"/>
                <w:lang w:val="en-US"/>
              </w:rPr>
              <w:t>Germany, Swiss, Russia, Greece, UK, Netherlands</w:t>
            </w:r>
            <w:r w:rsidRPr="00DA5BF4">
              <w:rPr>
                <w:rFonts w:ascii="Book Antiqua" w:hAnsi="Book Antiqua"/>
                <w:color w:val="000000" w:themeColor="text1"/>
                <w:sz w:val="18"/>
                <w:lang w:val="en-US"/>
              </w:rPr>
              <w:t>);</w:t>
            </w:r>
            <w:r w:rsidRPr="00D635E0">
              <w:rPr>
                <w:rFonts w:ascii="Book Antiqua" w:hAnsi="Book Antiqua"/>
                <w:color w:val="000000" w:themeColor="text1"/>
                <w:sz w:val="18"/>
                <w:lang w:val="en-US"/>
              </w:rPr>
              <w:t xml:space="preserve"> with no overrepresentation from a single region</w:t>
            </w:r>
            <w:r w:rsidRPr="00DA5BF4">
              <w:rPr>
                <w:rFonts w:ascii="Book Antiqua" w:hAnsi="Book Antiqua"/>
                <w:color w:val="000000" w:themeColor="text1"/>
                <w:sz w:val="18"/>
                <w:lang w:val="en-US"/>
              </w:rPr>
              <w:t>.</w:t>
            </w:r>
          </w:p>
        </w:tc>
        <w:tc>
          <w:tcPr>
            <w:tcW w:w="1848" w:type="dxa"/>
          </w:tcPr>
          <w:p w14:paraId="317772E3" w14:textId="77777777" w:rsidR="00356CED" w:rsidRPr="00A56A83" w:rsidRDefault="00356CED" w:rsidP="00146B86">
            <w:pPr>
              <w:rPr>
                <w:rFonts w:ascii="Book Antiqua" w:hAnsi="Book Antiqua"/>
                <w:color w:val="000000" w:themeColor="text1"/>
                <w:sz w:val="18"/>
                <w:lang w:val="en-US"/>
              </w:rPr>
            </w:pPr>
            <w:r w:rsidRPr="00A56A83">
              <w:rPr>
                <w:rFonts w:ascii="Book Antiqua" w:hAnsi="Book Antiqua"/>
                <w:color w:val="000000" w:themeColor="text1"/>
                <w:sz w:val="18"/>
                <w:lang w:val="en-US"/>
              </w:rPr>
              <w:t>Low</w:t>
            </w:r>
          </w:p>
        </w:tc>
      </w:tr>
      <w:tr w:rsidR="00356CED" w:rsidRPr="00376A98" w14:paraId="1527A671" w14:textId="77777777" w:rsidTr="000F5D05">
        <w:trPr>
          <w:jc w:val="center"/>
        </w:trPr>
        <w:tc>
          <w:tcPr>
            <w:tcW w:w="2263" w:type="dxa"/>
            <w:tcBorders>
              <w:bottom w:val="single" w:sz="4" w:space="0" w:color="auto"/>
            </w:tcBorders>
          </w:tcPr>
          <w:p w14:paraId="014569B2" w14:textId="77777777" w:rsidR="00356CED" w:rsidRPr="00A56A83" w:rsidRDefault="00356CED" w:rsidP="00146B86">
            <w:pPr>
              <w:rPr>
                <w:rFonts w:ascii="Book Antiqua" w:hAnsi="Book Antiqua"/>
                <w:b/>
                <w:color w:val="000000" w:themeColor="text1"/>
                <w:sz w:val="18"/>
                <w:lang w:val="en-US"/>
              </w:rPr>
            </w:pPr>
            <w:r w:rsidRPr="00A56A83">
              <w:rPr>
                <w:rFonts w:ascii="Book Antiqua" w:hAnsi="Book Antiqua"/>
                <w:b/>
                <w:color w:val="000000" w:themeColor="text1"/>
                <w:sz w:val="18"/>
                <w:lang w:val="en-US"/>
              </w:rPr>
              <w:t>Selective Outcome Reporting</w:t>
            </w:r>
          </w:p>
        </w:tc>
        <w:tc>
          <w:tcPr>
            <w:tcW w:w="6521" w:type="dxa"/>
            <w:tcBorders>
              <w:bottom w:val="single" w:sz="4" w:space="0" w:color="auto"/>
            </w:tcBorders>
          </w:tcPr>
          <w:p w14:paraId="5EF490E7" w14:textId="77777777" w:rsidR="00356CED" w:rsidRPr="00DA5BF4" w:rsidRDefault="00356CED" w:rsidP="00146B86">
            <w:pPr>
              <w:rPr>
                <w:rFonts w:ascii="Book Antiqua" w:hAnsi="Book Antiqua"/>
                <w:color w:val="000000" w:themeColor="text1"/>
                <w:sz w:val="18"/>
                <w:lang w:val="en-US"/>
              </w:rPr>
            </w:pPr>
            <w:r w:rsidRPr="00DA5BF4">
              <w:rPr>
                <w:rFonts w:ascii="Book Antiqua" w:hAnsi="Book Antiqua"/>
                <w:color w:val="000000" w:themeColor="text1"/>
                <w:sz w:val="18"/>
                <w:lang w:val="en-US"/>
              </w:rPr>
              <w:t>Inconsistent reporting of secondary outcomes (e.g., complications, costs); non-significant primary outcomes mitigate but raise moderate concern.</w:t>
            </w:r>
          </w:p>
        </w:tc>
        <w:tc>
          <w:tcPr>
            <w:tcW w:w="1848" w:type="dxa"/>
            <w:tcBorders>
              <w:bottom w:val="single" w:sz="4" w:space="0" w:color="auto"/>
            </w:tcBorders>
          </w:tcPr>
          <w:p w14:paraId="6767D372" w14:textId="77777777" w:rsidR="00356CED" w:rsidRPr="00376A98" w:rsidRDefault="00356CED" w:rsidP="00146B86">
            <w:pPr>
              <w:rPr>
                <w:rFonts w:ascii="Book Antiqua" w:hAnsi="Book Antiqua"/>
                <w:color w:val="000000" w:themeColor="text1"/>
                <w:sz w:val="18"/>
              </w:rPr>
            </w:pPr>
            <w:r w:rsidRPr="00376A98">
              <w:rPr>
                <w:rFonts w:ascii="Book Antiqua" w:hAnsi="Book Antiqua"/>
                <w:color w:val="000000" w:themeColor="text1"/>
                <w:sz w:val="18"/>
              </w:rPr>
              <w:t>Moderate</w:t>
            </w:r>
          </w:p>
        </w:tc>
      </w:tr>
    </w:tbl>
    <w:p w14:paraId="2D28F15A" w14:textId="77777777" w:rsidR="00356CED" w:rsidRDefault="00356CED" w:rsidP="007C74D8">
      <w:pPr>
        <w:spacing w:after="0" w:line="360" w:lineRule="auto"/>
        <w:ind w:left="567"/>
        <w:rPr>
          <w:rFonts w:ascii="Book Antiqua" w:hAnsi="Book Antiqua" w:cstheme="minorHAnsi"/>
          <w:sz w:val="24"/>
          <w:szCs w:val="24"/>
          <w:lang w:val="en-US"/>
        </w:rPr>
      </w:pPr>
    </w:p>
    <w:p w14:paraId="16BFDB4C" w14:textId="77777777" w:rsidR="00356CED" w:rsidRDefault="00356CED" w:rsidP="007C74D8">
      <w:pPr>
        <w:spacing w:after="0" w:line="360" w:lineRule="auto"/>
        <w:ind w:left="567"/>
        <w:rPr>
          <w:rFonts w:ascii="Book Antiqua" w:hAnsi="Book Antiqua" w:cstheme="minorHAnsi"/>
          <w:sz w:val="24"/>
          <w:szCs w:val="24"/>
          <w:lang w:val="en-US"/>
        </w:rPr>
      </w:pPr>
    </w:p>
    <w:p w14:paraId="594C9EAA" w14:textId="77777777" w:rsidR="0091531E" w:rsidRDefault="0091531E" w:rsidP="007C74D8">
      <w:pPr>
        <w:spacing w:after="0" w:line="360" w:lineRule="auto"/>
        <w:ind w:left="567"/>
        <w:rPr>
          <w:rFonts w:ascii="Book Antiqua" w:hAnsi="Book Antiqua" w:cstheme="minorHAnsi"/>
          <w:sz w:val="24"/>
          <w:szCs w:val="24"/>
          <w:lang w:val="en-US"/>
        </w:rPr>
      </w:pPr>
    </w:p>
    <w:p w14:paraId="6B6FD877" w14:textId="77777777" w:rsidR="0091531E" w:rsidRDefault="0091531E" w:rsidP="007C74D8">
      <w:pPr>
        <w:spacing w:after="0" w:line="360" w:lineRule="auto"/>
        <w:ind w:left="567"/>
        <w:rPr>
          <w:rFonts w:ascii="Book Antiqua" w:hAnsi="Book Antiqua" w:cstheme="minorHAnsi"/>
          <w:sz w:val="24"/>
          <w:szCs w:val="24"/>
          <w:lang w:val="en-US"/>
        </w:rPr>
      </w:pPr>
    </w:p>
    <w:p w14:paraId="3CD03EF9" w14:textId="77777777" w:rsidR="0091531E" w:rsidRDefault="0091531E" w:rsidP="007C74D8">
      <w:pPr>
        <w:spacing w:after="0" w:line="360" w:lineRule="auto"/>
        <w:ind w:left="567"/>
        <w:rPr>
          <w:rFonts w:ascii="Book Antiqua" w:hAnsi="Book Antiqua" w:cstheme="minorHAnsi"/>
          <w:sz w:val="24"/>
          <w:szCs w:val="24"/>
          <w:lang w:val="en-US"/>
        </w:rPr>
      </w:pPr>
    </w:p>
    <w:p w14:paraId="1C0CA61C" w14:textId="77777777" w:rsidR="0091531E" w:rsidRDefault="0091531E" w:rsidP="007C74D8">
      <w:pPr>
        <w:spacing w:after="0" w:line="360" w:lineRule="auto"/>
        <w:ind w:left="567"/>
        <w:rPr>
          <w:rFonts w:ascii="Book Antiqua" w:hAnsi="Book Antiqua" w:cstheme="minorHAnsi"/>
          <w:sz w:val="24"/>
          <w:szCs w:val="24"/>
          <w:lang w:val="en-US"/>
        </w:rPr>
      </w:pPr>
    </w:p>
    <w:p w14:paraId="6042B16D" w14:textId="77777777" w:rsidR="00161F91" w:rsidRDefault="00161F91" w:rsidP="00D143F9">
      <w:pPr>
        <w:spacing w:after="0" w:line="360" w:lineRule="auto"/>
        <w:rPr>
          <w:rFonts w:ascii="Book Antiqua" w:eastAsia="Times New Roman" w:hAnsi="Book Antiqua" w:cstheme="minorHAnsi"/>
          <w:b/>
          <w:sz w:val="24"/>
          <w:szCs w:val="24"/>
          <w:lang w:val="en-US"/>
        </w:rPr>
      </w:pPr>
    </w:p>
    <w:p w14:paraId="799D881F" w14:textId="77777777" w:rsidR="00161F91" w:rsidRDefault="00161F91" w:rsidP="00D143F9">
      <w:pPr>
        <w:spacing w:after="0" w:line="360" w:lineRule="auto"/>
        <w:rPr>
          <w:rFonts w:ascii="Book Antiqua" w:eastAsia="Times New Roman" w:hAnsi="Book Antiqua" w:cstheme="minorHAnsi"/>
          <w:b/>
          <w:sz w:val="24"/>
          <w:szCs w:val="24"/>
          <w:lang w:val="en-US"/>
        </w:rPr>
      </w:pPr>
    </w:p>
    <w:p w14:paraId="2B7C1230" w14:textId="77777777" w:rsidR="00161F91" w:rsidRDefault="00161F91" w:rsidP="00D143F9">
      <w:pPr>
        <w:spacing w:after="0" w:line="360" w:lineRule="auto"/>
        <w:rPr>
          <w:rFonts w:ascii="Book Antiqua" w:eastAsia="Times New Roman" w:hAnsi="Book Antiqua" w:cstheme="minorHAnsi"/>
          <w:b/>
          <w:sz w:val="24"/>
          <w:szCs w:val="24"/>
          <w:lang w:val="en-US"/>
        </w:rPr>
      </w:pPr>
    </w:p>
    <w:p w14:paraId="6BAC668F" w14:textId="1A52862F" w:rsidR="00D143F9" w:rsidRPr="009571E5" w:rsidRDefault="00D143F9" w:rsidP="00D143F9">
      <w:pPr>
        <w:spacing w:after="0" w:line="360" w:lineRule="auto"/>
        <w:rPr>
          <w:rFonts w:ascii="Book Antiqua" w:hAnsi="Book Antiqua"/>
          <w:b/>
          <w:sz w:val="24"/>
          <w:lang w:val="en-US"/>
        </w:rPr>
      </w:pPr>
      <w:r w:rsidRPr="009571E5">
        <w:rPr>
          <w:rFonts w:ascii="Book Antiqua" w:eastAsia="Times New Roman" w:hAnsi="Book Antiqua" w:cstheme="minorHAnsi"/>
          <w:b/>
          <w:sz w:val="24"/>
          <w:szCs w:val="24"/>
          <w:lang w:val="en-US"/>
        </w:rPr>
        <w:lastRenderedPageBreak/>
        <w:t>Supplementary</w:t>
      </w:r>
      <w:r w:rsidR="00161F91">
        <w:rPr>
          <w:rFonts w:ascii="Book Antiqua" w:hAnsi="Book Antiqua" w:cstheme="minorHAnsi"/>
          <w:b/>
          <w:sz w:val="24"/>
          <w:szCs w:val="24"/>
          <w:lang w:val="en-US"/>
        </w:rPr>
        <w:t xml:space="preserve"> Table </w:t>
      </w:r>
      <w:r w:rsidR="005061A1" w:rsidRPr="009571E5">
        <w:rPr>
          <w:rFonts w:ascii="Book Antiqua" w:hAnsi="Book Antiqua" w:cstheme="minorHAnsi"/>
          <w:b/>
          <w:sz w:val="24"/>
          <w:szCs w:val="24"/>
          <w:lang w:val="en-US"/>
        </w:rPr>
        <w:t>4</w:t>
      </w:r>
      <w:r w:rsidRPr="009571E5">
        <w:rPr>
          <w:rFonts w:ascii="Book Antiqua" w:hAnsi="Book Antiqua" w:cstheme="minorHAnsi"/>
          <w:b/>
          <w:sz w:val="24"/>
          <w:szCs w:val="24"/>
          <w:lang w:val="en-US"/>
        </w:rPr>
        <w:t xml:space="preserve"> </w:t>
      </w:r>
      <w:r w:rsidR="005C586D">
        <w:rPr>
          <w:rFonts w:ascii="Book Antiqua" w:hAnsi="Book Antiqua"/>
          <w:b/>
          <w:sz w:val="24"/>
          <w:lang w:val="en-US"/>
        </w:rPr>
        <w:t>GRADE</w:t>
      </w:r>
      <w:bookmarkStart w:id="0" w:name="_GoBack"/>
      <w:bookmarkEnd w:id="0"/>
      <w:r w:rsidRPr="009571E5">
        <w:rPr>
          <w:rFonts w:ascii="Book Antiqua" w:hAnsi="Book Antiqua"/>
          <w:b/>
          <w:sz w:val="24"/>
          <w:lang w:val="en-US"/>
        </w:rPr>
        <w:t xml:space="preserve"> for Somatostatin-Based Therapies in the Management of External Gastrointestinal Fistulas</w:t>
      </w:r>
    </w:p>
    <w:tbl>
      <w:tblPr>
        <w:tblStyle w:val="a3"/>
        <w:tblW w:w="145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0"/>
        <w:gridCol w:w="1310"/>
        <w:gridCol w:w="1203"/>
        <w:gridCol w:w="1275"/>
        <w:gridCol w:w="1276"/>
        <w:gridCol w:w="1276"/>
        <w:gridCol w:w="1417"/>
        <w:gridCol w:w="1276"/>
        <w:gridCol w:w="1276"/>
        <w:gridCol w:w="2977"/>
      </w:tblGrid>
      <w:tr w:rsidR="00D143F9" w:rsidRPr="009571E5" w14:paraId="66D9BA30" w14:textId="77777777" w:rsidTr="00D143F9">
        <w:tc>
          <w:tcPr>
            <w:tcW w:w="1310" w:type="dxa"/>
            <w:tcBorders>
              <w:top w:val="single" w:sz="4" w:space="0" w:color="auto"/>
              <w:bottom w:val="single" w:sz="4" w:space="0" w:color="auto"/>
            </w:tcBorders>
          </w:tcPr>
          <w:p w14:paraId="4FE77016" w14:textId="77777777" w:rsidR="00D143F9" w:rsidRPr="009571E5" w:rsidRDefault="00D143F9" w:rsidP="00146B86">
            <w:pPr>
              <w:rPr>
                <w:rFonts w:ascii="Book Antiqua" w:hAnsi="Book Antiqua"/>
                <w:b/>
                <w:sz w:val="16"/>
              </w:rPr>
            </w:pPr>
            <w:r w:rsidRPr="009571E5">
              <w:rPr>
                <w:rFonts w:ascii="Book Antiqua" w:hAnsi="Book Antiqua"/>
                <w:b/>
                <w:sz w:val="16"/>
              </w:rPr>
              <w:t>Outcome</w:t>
            </w:r>
          </w:p>
        </w:tc>
        <w:tc>
          <w:tcPr>
            <w:tcW w:w="1310" w:type="dxa"/>
            <w:tcBorders>
              <w:top w:val="single" w:sz="4" w:space="0" w:color="auto"/>
              <w:bottom w:val="single" w:sz="4" w:space="0" w:color="auto"/>
            </w:tcBorders>
          </w:tcPr>
          <w:p w14:paraId="7CC3EACF" w14:textId="77777777" w:rsidR="00D143F9" w:rsidRPr="009571E5" w:rsidRDefault="00D143F9" w:rsidP="00146B86">
            <w:pPr>
              <w:rPr>
                <w:rFonts w:ascii="Book Antiqua" w:hAnsi="Book Antiqua"/>
                <w:b/>
                <w:sz w:val="16"/>
              </w:rPr>
            </w:pPr>
            <w:r w:rsidRPr="009571E5">
              <w:rPr>
                <w:rFonts w:ascii="Book Antiqua" w:hAnsi="Book Antiqua"/>
                <w:b/>
                <w:sz w:val="16"/>
              </w:rPr>
              <w:t>No. of Studies (Participants)</w:t>
            </w:r>
          </w:p>
        </w:tc>
        <w:tc>
          <w:tcPr>
            <w:tcW w:w="1203" w:type="dxa"/>
            <w:tcBorders>
              <w:top w:val="single" w:sz="4" w:space="0" w:color="auto"/>
              <w:bottom w:val="single" w:sz="4" w:space="0" w:color="auto"/>
            </w:tcBorders>
          </w:tcPr>
          <w:p w14:paraId="0313F9D8" w14:textId="77777777" w:rsidR="00D143F9" w:rsidRPr="009571E5" w:rsidRDefault="00D143F9" w:rsidP="00146B86">
            <w:pPr>
              <w:rPr>
                <w:rFonts w:ascii="Book Antiqua" w:hAnsi="Book Antiqua"/>
                <w:b/>
                <w:sz w:val="16"/>
              </w:rPr>
            </w:pPr>
            <w:r w:rsidRPr="009571E5">
              <w:rPr>
                <w:rFonts w:ascii="Book Antiqua" w:hAnsi="Book Antiqua"/>
                <w:b/>
                <w:sz w:val="16"/>
              </w:rPr>
              <w:t>Risk of Bias</w:t>
            </w:r>
          </w:p>
        </w:tc>
        <w:tc>
          <w:tcPr>
            <w:tcW w:w="1275" w:type="dxa"/>
            <w:tcBorders>
              <w:top w:val="single" w:sz="4" w:space="0" w:color="auto"/>
              <w:bottom w:val="single" w:sz="4" w:space="0" w:color="auto"/>
            </w:tcBorders>
          </w:tcPr>
          <w:p w14:paraId="306483A6" w14:textId="77777777" w:rsidR="00D143F9" w:rsidRPr="009571E5" w:rsidRDefault="00D143F9" w:rsidP="00146B86">
            <w:pPr>
              <w:rPr>
                <w:rFonts w:ascii="Book Antiqua" w:hAnsi="Book Antiqua"/>
                <w:b/>
                <w:sz w:val="16"/>
              </w:rPr>
            </w:pPr>
            <w:r w:rsidRPr="009571E5">
              <w:rPr>
                <w:rFonts w:ascii="Book Antiqua" w:hAnsi="Book Antiqua"/>
                <w:b/>
                <w:sz w:val="16"/>
              </w:rPr>
              <w:t>Inconsistency</w:t>
            </w:r>
          </w:p>
        </w:tc>
        <w:tc>
          <w:tcPr>
            <w:tcW w:w="1276" w:type="dxa"/>
            <w:tcBorders>
              <w:top w:val="single" w:sz="4" w:space="0" w:color="auto"/>
              <w:bottom w:val="single" w:sz="4" w:space="0" w:color="auto"/>
            </w:tcBorders>
          </w:tcPr>
          <w:p w14:paraId="1B1B4948" w14:textId="77777777" w:rsidR="00D143F9" w:rsidRPr="009571E5" w:rsidRDefault="00D143F9" w:rsidP="00146B86">
            <w:pPr>
              <w:rPr>
                <w:rFonts w:ascii="Book Antiqua" w:hAnsi="Book Antiqua"/>
                <w:b/>
                <w:sz w:val="16"/>
              </w:rPr>
            </w:pPr>
            <w:r w:rsidRPr="009571E5">
              <w:rPr>
                <w:rFonts w:ascii="Book Antiqua" w:hAnsi="Book Antiqua"/>
                <w:b/>
                <w:sz w:val="16"/>
              </w:rPr>
              <w:t>Indirectness</w:t>
            </w:r>
          </w:p>
        </w:tc>
        <w:tc>
          <w:tcPr>
            <w:tcW w:w="1276" w:type="dxa"/>
            <w:tcBorders>
              <w:top w:val="single" w:sz="4" w:space="0" w:color="auto"/>
              <w:bottom w:val="single" w:sz="4" w:space="0" w:color="auto"/>
            </w:tcBorders>
          </w:tcPr>
          <w:p w14:paraId="00D70EB3" w14:textId="77777777" w:rsidR="00D143F9" w:rsidRPr="009571E5" w:rsidRDefault="00D143F9" w:rsidP="00146B86">
            <w:pPr>
              <w:rPr>
                <w:rFonts w:ascii="Book Antiqua" w:hAnsi="Book Antiqua"/>
                <w:b/>
                <w:sz w:val="16"/>
              </w:rPr>
            </w:pPr>
            <w:r w:rsidRPr="009571E5">
              <w:rPr>
                <w:rFonts w:ascii="Book Antiqua" w:hAnsi="Book Antiqua"/>
                <w:b/>
                <w:sz w:val="16"/>
              </w:rPr>
              <w:t>Imprecision</w:t>
            </w:r>
          </w:p>
        </w:tc>
        <w:tc>
          <w:tcPr>
            <w:tcW w:w="1417" w:type="dxa"/>
            <w:tcBorders>
              <w:top w:val="single" w:sz="4" w:space="0" w:color="auto"/>
              <w:bottom w:val="single" w:sz="4" w:space="0" w:color="auto"/>
            </w:tcBorders>
          </w:tcPr>
          <w:p w14:paraId="555B9DB3" w14:textId="77777777" w:rsidR="00D143F9" w:rsidRPr="009571E5" w:rsidRDefault="00D143F9" w:rsidP="00146B86">
            <w:pPr>
              <w:rPr>
                <w:rFonts w:ascii="Book Antiqua" w:hAnsi="Book Antiqua"/>
                <w:b/>
                <w:sz w:val="16"/>
              </w:rPr>
            </w:pPr>
            <w:r w:rsidRPr="009571E5">
              <w:rPr>
                <w:rFonts w:ascii="Book Antiqua" w:hAnsi="Book Antiqua"/>
                <w:b/>
                <w:sz w:val="16"/>
              </w:rPr>
              <w:t>Other Considerations</w:t>
            </w:r>
          </w:p>
        </w:tc>
        <w:tc>
          <w:tcPr>
            <w:tcW w:w="1276" w:type="dxa"/>
            <w:tcBorders>
              <w:top w:val="single" w:sz="4" w:space="0" w:color="auto"/>
              <w:bottom w:val="single" w:sz="4" w:space="0" w:color="auto"/>
            </w:tcBorders>
          </w:tcPr>
          <w:p w14:paraId="36BDD078" w14:textId="77777777" w:rsidR="00D143F9" w:rsidRPr="009571E5" w:rsidRDefault="00D143F9" w:rsidP="00146B86">
            <w:pPr>
              <w:rPr>
                <w:rFonts w:ascii="Book Antiqua" w:hAnsi="Book Antiqua"/>
                <w:b/>
                <w:sz w:val="16"/>
              </w:rPr>
            </w:pPr>
            <w:r w:rsidRPr="009571E5">
              <w:rPr>
                <w:rFonts w:ascii="Book Antiqua" w:hAnsi="Book Antiqua"/>
                <w:b/>
                <w:sz w:val="16"/>
              </w:rPr>
              <w:t>Effect Size (95% CI)</w:t>
            </w:r>
          </w:p>
        </w:tc>
        <w:tc>
          <w:tcPr>
            <w:tcW w:w="1276" w:type="dxa"/>
            <w:tcBorders>
              <w:top w:val="single" w:sz="4" w:space="0" w:color="auto"/>
              <w:bottom w:val="single" w:sz="4" w:space="0" w:color="auto"/>
            </w:tcBorders>
          </w:tcPr>
          <w:p w14:paraId="2AF354E0" w14:textId="77777777" w:rsidR="00D143F9" w:rsidRPr="009571E5" w:rsidRDefault="00D143F9" w:rsidP="00146B86">
            <w:pPr>
              <w:rPr>
                <w:rFonts w:ascii="Book Antiqua" w:hAnsi="Book Antiqua"/>
                <w:b/>
                <w:sz w:val="16"/>
              </w:rPr>
            </w:pPr>
            <w:r w:rsidRPr="009571E5">
              <w:rPr>
                <w:rFonts w:ascii="Book Antiqua" w:hAnsi="Book Antiqua"/>
                <w:b/>
                <w:sz w:val="16"/>
              </w:rPr>
              <w:t>Certainty of Evidence</w:t>
            </w:r>
          </w:p>
        </w:tc>
        <w:tc>
          <w:tcPr>
            <w:tcW w:w="2977" w:type="dxa"/>
            <w:tcBorders>
              <w:top w:val="single" w:sz="4" w:space="0" w:color="auto"/>
              <w:bottom w:val="single" w:sz="4" w:space="0" w:color="auto"/>
            </w:tcBorders>
          </w:tcPr>
          <w:p w14:paraId="540BE194" w14:textId="77777777" w:rsidR="00D143F9" w:rsidRPr="009571E5" w:rsidRDefault="00D143F9" w:rsidP="00146B86">
            <w:pPr>
              <w:rPr>
                <w:rFonts w:ascii="Book Antiqua" w:hAnsi="Book Antiqua"/>
                <w:b/>
                <w:sz w:val="16"/>
              </w:rPr>
            </w:pPr>
            <w:r w:rsidRPr="009571E5">
              <w:rPr>
                <w:rFonts w:ascii="Book Antiqua" w:hAnsi="Book Antiqua"/>
                <w:b/>
                <w:sz w:val="16"/>
              </w:rPr>
              <w:t>Comments</w:t>
            </w:r>
          </w:p>
        </w:tc>
      </w:tr>
      <w:tr w:rsidR="00604D84" w:rsidRPr="009571E5" w14:paraId="770677DA" w14:textId="77777777" w:rsidTr="00D143F9">
        <w:tc>
          <w:tcPr>
            <w:tcW w:w="1310" w:type="dxa"/>
            <w:tcBorders>
              <w:top w:val="single" w:sz="4" w:space="0" w:color="auto"/>
            </w:tcBorders>
          </w:tcPr>
          <w:p w14:paraId="49C8B1F5" w14:textId="77777777" w:rsidR="00604D84" w:rsidRPr="009571E5" w:rsidRDefault="00604D84" w:rsidP="00604D84">
            <w:pPr>
              <w:rPr>
                <w:rFonts w:ascii="Book Antiqua" w:hAnsi="Book Antiqua"/>
                <w:b/>
                <w:sz w:val="16"/>
              </w:rPr>
            </w:pPr>
            <w:r w:rsidRPr="009571E5">
              <w:rPr>
                <w:rFonts w:ascii="Book Antiqua" w:hAnsi="Book Antiqua"/>
                <w:b/>
                <w:sz w:val="16"/>
              </w:rPr>
              <w:t>Fistula Closure Rate</w:t>
            </w:r>
          </w:p>
        </w:tc>
        <w:tc>
          <w:tcPr>
            <w:tcW w:w="1310" w:type="dxa"/>
            <w:tcBorders>
              <w:top w:val="single" w:sz="4" w:space="0" w:color="auto"/>
            </w:tcBorders>
          </w:tcPr>
          <w:p w14:paraId="335FDAC6" w14:textId="77777777" w:rsidR="00604D84" w:rsidRPr="009571E5" w:rsidRDefault="00604D84" w:rsidP="00604D84">
            <w:pPr>
              <w:rPr>
                <w:rFonts w:ascii="Book Antiqua" w:hAnsi="Book Antiqua"/>
                <w:sz w:val="16"/>
              </w:rPr>
            </w:pPr>
            <w:r w:rsidRPr="009571E5">
              <w:rPr>
                <w:rFonts w:ascii="Book Antiqua" w:hAnsi="Book Antiqua"/>
                <w:sz w:val="16"/>
              </w:rPr>
              <w:t>7 (363)</w:t>
            </w:r>
          </w:p>
        </w:tc>
        <w:tc>
          <w:tcPr>
            <w:tcW w:w="1203" w:type="dxa"/>
            <w:tcBorders>
              <w:top w:val="single" w:sz="4" w:space="0" w:color="auto"/>
            </w:tcBorders>
          </w:tcPr>
          <w:p w14:paraId="7F589E70" w14:textId="77777777" w:rsidR="00604D84" w:rsidRPr="009571E5" w:rsidRDefault="00604D84" w:rsidP="00604D84">
            <w:pPr>
              <w:rPr>
                <w:rFonts w:ascii="Book Antiqua" w:hAnsi="Book Antiqua"/>
                <w:sz w:val="16"/>
              </w:rPr>
            </w:pPr>
            <w:r w:rsidRPr="009571E5">
              <w:rPr>
                <w:rFonts w:ascii="Book Antiqua" w:hAnsi="Book Antiqua"/>
                <w:sz w:val="16"/>
              </w:rPr>
              <w:t>Serious</w:t>
            </w:r>
            <w:r w:rsidRPr="009571E5">
              <w:rPr>
                <w:rFonts w:ascii="Book Antiqua" w:hAnsi="Book Antiqua"/>
                <w:color w:val="000000" w:themeColor="text1"/>
                <w:sz w:val="24"/>
                <w:szCs w:val="24"/>
                <w:vertAlign w:val="superscript"/>
              </w:rPr>
              <w:t xml:space="preserve"> a</w:t>
            </w:r>
          </w:p>
        </w:tc>
        <w:tc>
          <w:tcPr>
            <w:tcW w:w="1275" w:type="dxa"/>
            <w:tcBorders>
              <w:top w:val="single" w:sz="4" w:space="0" w:color="auto"/>
            </w:tcBorders>
          </w:tcPr>
          <w:p w14:paraId="05C33DF4" w14:textId="77777777" w:rsidR="00604D84" w:rsidRPr="009571E5" w:rsidRDefault="00604D84" w:rsidP="00604D84">
            <w:pPr>
              <w:rPr>
                <w:rFonts w:ascii="Book Antiqua" w:hAnsi="Book Antiqua"/>
                <w:sz w:val="16"/>
              </w:rPr>
            </w:pPr>
            <w:r w:rsidRPr="009571E5">
              <w:rPr>
                <w:rFonts w:ascii="Book Antiqua" w:hAnsi="Book Antiqua"/>
                <w:sz w:val="16"/>
              </w:rPr>
              <w:t>Not serious</w:t>
            </w:r>
            <w:r w:rsidRPr="009571E5">
              <w:rPr>
                <w:rFonts w:ascii="Book Antiqua" w:hAnsi="Book Antiqua"/>
                <w:color w:val="000000" w:themeColor="text1"/>
                <w:sz w:val="24"/>
                <w:szCs w:val="24"/>
                <w:vertAlign w:val="superscript"/>
              </w:rPr>
              <w:t xml:space="preserve"> b</w:t>
            </w:r>
          </w:p>
        </w:tc>
        <w:tc>
          <w:tcPr>
            <w:tcW w:w="1276" w:type="dxa"/>
            <w:tcBorders>
              <w:top w:val="single" w:sz="4" w:space="0" w:color="auto"/>
            </w:tcBorders>
          </w:tcPr>
          <w:p w14:paraId="2E2C7882" w14:textId="77777777" w:rsidR="00604D84" w:rsidRPr="009571E5" w:rsidRDefault="003C21A3" w:rsidP="00604D84">
            <w:pPr>
              <w:rPr>
                <w:rFonts w:ascii="Book Antiqua" w:hAnsi="Book Antiqua"/>
                <w:sz w:val="16"/>
              </w:rPr>
            </w:pPr>
            <w:r w:rsidRPr="009571E5">
              <w:rPr>
                <w:rFonts w:ascii="Book Antiqua" w:hAnsi="Book Antiqua"/>
                <w:sz w:val="16"/>
              </w:rPr>
              <w:t>S</w:t>
            </w:r>
            <w:r w:rsidR="00604D84" w:rsidRPr="009571E5">
              <w:rPr>
                <w:rFonts w:ascii="Book Antiqua" w:hAnsi="Book Antiqua"/>
                <w:sz w:val="16"/>
              </w:rPr>
              <w:t>erious</w:t>
            </w:r>
            <w:r w:rsidRPr="009571E5">
              <w:rPr>
                <w:rFonts w:ascii="Book Antiqua" w:hAnsi="Book Antiqua"/>
                <w:b/>
                <w:sz w:val="16"/>
                <w:vertAlign w:val="superscript"/>
              </w:rPr>
              <w:t>d</w:t>
            </w:r>
          </w:p>
        </w:tc>
        <w:tc>
          <w:tcPr>
            <w:tcW w:w="1276" w:type="dxa"/>
            <w:tcBorders>
              <w:top w:val="single" w:sz="4" w:space="0" w:color="auto"/>
            </w:tcBorders>
          </w:tcPr>
          <w:p w14:paraId="7B17D5E9" w14:textId="77777777" w:rsidR="00604D84" w:rsidRPr="009571E5" w:rsidRDefault="00604D84" w:rsidP="00604D84">
            <w:pPr>
              <w:rPr>
                <w:rFonts w:ascii="Book Antiqua" w:hAnsi="Book Antiqua"/>
                <w:sz w:val="16"/>
              </w:rPr>
            </w:pPr>
            <w:r w:rsidRPr="009571E5">
              <w:rPr>
                <w:rFonts w:ascii="Book Antiqua" w:hAnsi="Book Antiqua"/>
                <w:sz w:val="16"/>
              </w:rPr>
              <w:t>Not serious</w:t>
            </w:r>
          </w:p>
        </w:tc>
        <w:tc>
          <w:tcPr>
            <w:tcW w:w="1417" w:type="dxa"/>
            <w:tcBorders>
              <w:top w:val="single" w:sz="4" w:space="0" w:color="auto"/>
            </w:tcBorders>
          </w:tcPr>
          <w:p w14:paraId="5C763ECF" w14:textId="77777777" w:rsidR="00604D84" w:rsidRPr="009571E5" w:rsidRDefault="00604D84" w:rsidP="00604D84">
            <w:pPr>
              <w:rPr>
                <w:rFonts w:ascii="Book Antiqua" w:hAnsi="Book Antiqua"/>
                <w:sz w:val="16"/>
              </w:rPr>
            </w:pPr>
            <w:r w:rsidRPr="009571E5">
              <w:rPr>
                <w:rFonts w:ascii="Book Antiqua" w:hAnsi="Book Antiqua"/>
                <w:sz w:val="16"/>
              </w:rPr>
              <w:t>None</w:t>
            </w:r>
          </w:p>
        </w:tc>
        <w:tc>
          <w:tcPr>
            <w:tcW w:w="1276" w:type="dxa"/>
            <w:tcBorders>
              <w:top w:val="single" w:sz="4" w:space="0" w:color="auto"/>
            </w:tcBorders>
          </w:tcPr>
          <w:p w14:paraId="3F546C15" w14:textId="77777777" w:rsidR="00604D84" w:rsidRPr="009571E5" w:rsidRDefault="00604D84" w:rsidP="00604D84">
            <w:pPr>
              <w:rPr>
                <w:rFonts w:ascii="Book Antiqua" w:hAnsi="Book Antiqua"/>
                <w:sz w:val="16"/>
              </w:rPr>
            </w:pPr>
            <w:r w:rsidRPr="009571E5">
              <w:rPr>
                <w:rFonts w:ascii="Book Antiqua" w:hAnsi="Book Antiqua"/>
                <w:sz w:val="16"/>
              </w:rPr>
              <w:t>RR 1.11 (0.95 to 1.28)</w:t>
            </w:r>
          </w:p>
        </w:tc>
        <w:tc>
          <w:tcPr>
            <w:tcW w:w="1276" w:type="dxa"/>
            <w:tcBorders>
              <w:top w:val="single" w:sz="4" w:space="0" w:color="auto"/>
            </w:tcBorders>
          </w:tcPr>
          <w:p w14:paraId="24C33626" w14:textId="77777777" w:rsidR="00604D84" w:rsidRPr="009571E5" w:rsidRDefault="00604D84" w:rsidP="00604D84">
            <w:pPr>
              <w:rPr>
                <w:rFonts w:ascii="Book Antiqua" w:hAnsi="Book Antiqua"/>
                <w:sz w:val="16"/>
              </w:rPr>
            </w:pPr>
            <w:r w:rsidRPr="009571E5">
              <w:rPr>
                <w:rFonts w:ascii="Book Antiqua" w:hAnsi="Book Antiqua"/>
                <w:sz w:val="16"/>
              </w:rPr>
              <w:t xml:space="preserve">Low </w:t>
            </w:r>
            <w:r w:rsidRPr="009571E5">
              <w:rPr>
                <w:rFonts w:ascii="Cambria Math" w:hAnsi="Cambria Math" w:cs="Cambria Math"/>
                <w:sz w:val="16"/>
              </w:rPr>
              <w:t>⊕⊕◯◯</w:t>
            </w:r>
          </w:p>
        </w:tc>
        <w:tc>
          <w:tcPr>
            <w:tcW w:w="2977" w:type="dxa"/>
            <w:tcBorders>
              <w:top w:val="single" w:sz="4" w:space="0" w:color="auto"/>
            </w:tcBorders>
          </w:tcPr>
          <w:p w14:paraId="70012572" w14:textId="124EC92A" w:rsidR="000D1100" w:rsidRPr="009571E5" w:rsidRDefault="00604D84" w:rsidP="00604D84">
            <w:pPr>
              <w:rPr>
                <w:rFonts w:ascii="Book Antiqua" w:hAnsi="Book Antiqua"/>
                <w:sz w:val="16"/>
                <w:lang w:val="en-US"/>
              </w:rPr>
            </w:pPr>
            <w:r w:rsidRPr="009571E5">
              <w:rPr>
                <w:rFonts w:ascii="Book Antiqua" w:hAnsi="Book Antiqua"/>
                <w:sz w:val="16"/>
                <w:lang w:val="en-US"/>
              </w:rPr>
              <w:t>No significant difference in closure rates. Downgraded for high RoB across most trials and indirectness due to protocol heterogeneity (drug class, dose, duration, co-interventions, and outcome definitions).</w:t>
            </w:r>
          </w:p>
        </w:tc>
      </w:tr>
      <w:tr w:rsidR="00D143F9" w:rsidRPr="009571E5" w14:paraId="4BB28D54" w14:textId="77777777" w:rsidTr="00D143F9">
        <w:tc>
          <w:tcPr>
            <w:tcW w:w="1310" w:type="dxa"/>
          </w:tcPr>
          <w:p w14:paraId="4E30E6B2" w14:textId="77777777" w:rsidR="00D143F9" w:rsidRPr="009571E5" w:rsidRDefault="00D143F9" w:rsidP="00146B86">
            <w:pPr>
              <w:rPr>
                <w:rFonts w:ascii="Book Antiqua" w:hAnsi="Book Antiqua"/>
                <w:b/>
                <w:sz w:val="16"/>
              </w:rPr>
            </w:pPr>
            <w:r w:rsidRPr="009571E5">
              <w:rPr>
                <w:rFonts w:ascii="Book Antiqua" w:hAnsi="Book Antiqua"/>
                <w:b/>
                <w:sz w:val="16"/>
              </w:rPr>
              <w:t>Time to Fistula Closure</w:t>
            </w:r>
          </w:p>
        </w:tc>
        <w:tc>
          <w:tcPr>
            <w:tcW w:w="1310" w:type="dxa"/>
          </w:tcPr>
          <w:p w14:paraId="450F2849" w14:textId="77777777" w:rsidR="00D143F9" w:rsidRPr="009571E5" w:rsidRDefault="00D143F9" w:rsidP="00146B86">
            <w:pPr>
              <w:rPr>
                <w:rFonts w:ascii="Book Antiqua" w:hAnsi="Book Antiqua"/>
                <w:sz w:val="16"/>
              </w:rPr>
            </w:pPr>
            <w:r w:rsidRPr="009571E5">
              <w:rPr>
                <w:rFonts w:ascii="Book Antiqua" w:hAnsi="Book Antiqua"/>
                <w:sz w:val="16"/>
              </w:rPr>
              <w:t>5 (240)</w:t>
            </w:r>
          </w:p>
        </w:tc>
        <w:tc>
          <w:tcPr>
            <w:tcW w:w="1203" w:type="dxa"/>
          </w:tcPr>
          <w:p w14:paraId="71894864" w14:textId="77777777" w:rsidR="00D143F9" w:rsidRPr="009571E5" w:rsidRDefault="00D143F9" w:rsidP="00146B86">
            <w:pPr>
              <w:rPr>
                <w:rFonts w:ascii="Book Antiqua" w:hAnsi="Book Antiqua"/>
                <w:sz w:val="16"/>
              </w:rPr>
            </w:pPr>
            <w:r w:rsidRPr="009571E5">
              <w:rPr>
                <w:rFonts w:ascii="Book Antiqua" w:hAnsi="Book Antiqua"/>
                <w:sz w:val="16"/>
              </w:rPr>
              <w:t>Serious</w:t>
            </w:r>
            <w:r w:rsidRPr="009571E5">
              <w:rPr>
                <w:rFonts w:ascii="Book Antiqua" w:hAnsi="Book Antiqua"/>
                <w:color w:val="000000" w:themeColor="text1"/>
                <w:sz w:val="24"/>
                <w:szCs w:val="24"/>
                <w:vertAlign w:val="superscript"/>
              </w:rPr>
              <w:t xml:space="preserve"> a</w:t>
            </w:r>
          </w:p>
        </w:tc>
        <w:tc>
          <w:tcPr>
            <w:tcW w:w="1275" w:type="dxa"/>
          </w:tcPr>
          <w:p w14:paraId="3AAB164B" w14:textId="77777777" w:rsidR="00D143F9" w:rsidRPr="009571E5" w:rsidRDefault="00D143F9" w:rsidP="00146B86">
            <w:pPr>
              <w:rPr>
                <w:rFonts w:ascii="Book Antiqua" w:hAnsi="Book Antiqua"/>
                <w:sz w:val="16"/>
              </w:rPr>
            </w:pPr>
            <w:r w:rsidRPr="009571E5">
              <w:rPr>
                <w:rFonts w:ascii="Book Antiqua" w:hAnsi="Book Antiqua"/>
                <w:sz w:val="16"/>
              </w:rPr>
              <w:t>Not serious</w:t>
            </w:r>
            <w:r w:rsidRPr="009571E5">
              <w:rPr>
                <w:rFonts w:ascii="Book Antiqua" w:hAnsi="Book Antiqua"/>
                <w:color w:val="000000" w:themeColor="text1"/>
                <w:sz w:val="24"/>
                <w:szCs w:val="24"/>
                <w:vertAlign w:val="superscript"/>
              </w:rPr>
              <w:t xml:space="preserve"> b</w:t>
            </w:r>
          </w:p>
        </w:tc>
        <w:tc>
          <w:tcPr>
            <w:tcW w:w="1276" w:type="dxa"/>
          </w:tcPr>
          <w:p w14:paraId="50831FB9" w14:textId="77777777" w:rsidR="00D143F9" w:rsidRPr="009571E5" w:rsidRDefault="00D143F9" w:rsidP="00146B86">
            <w:pPr>
              <w:rPr>
                <w:rFonts w:ascii="Book Antiqua" w:hAnsi="Book Antiqua"/>
                <w:sz w:val="16"/>
              </w:rPr>
            </w:pPr>
            <w:r w:rsidRPr="009571E5">
              <w:rPr>
                <w:rFonts w:ascii="Book Antiqua" w:hAnsi="Book Antiqua"/>
                <w:sz w:val="16"/>
              </w:rPr>
              <w:t>Not serious</w:t>
            </w:r>
          </w:p>
        </w:tc>
        <w:tc>
          <w:tcPr>
            <w:tcW w:w="1276" w:type="dxa"/>
          </w:tcPr>
          <w:p w14:paraId="5164EC4D" w14:textId="77777777" w:rsidR="00D143F9" w:rsidRPr="009571E5" w:rsidRDefault="00D143F9" w:rsidP="00146B86">
            <w:pPr>
              <w:rPr>
                <w:rFonts w:ascii="Book Antiqua" w:hAnsi="Book Antiqua"/>
                <w:sz w:val="16"/>
              </w:rPr>
            </w:pPr>
            <w:r w:rsidRPr="009571E5">
              <w:rPr>
                <w:rFonts w:ascii="Book Antiqua" w:hAnsi="Book Antiqua"/>
                <w:sz w:val="16"/>
              </w:rPr>
              <w:t>Not serious</w:t>
            </w:r>
          </w:p>
        </w:tc>
        <w:tc>
          <w:tcPr>
            <w:tcW w:w="1417" w:type="dxa"/>
          </w:tcPr>
          <w:p w14:paraId="27CA15A0" w14:textId="77777777" w:rsidR="00D143F9" w:rsidRPr="009571E5" w:rsidRDefault="00D143F9" w:rsidP="00146B86">
            <w:pPr>
              <w:rPr>
                <w:rFonts w:ascii="Book Antiqua" w:hAnsi="Book Antiqua"/>
                <w:sz w:val="16"/>
              </w:rPr>
            </w:pPr>
            <w:r w:rsidRPr="009571E5">
              <w:rPr>
                <w:rFonts w:ascii="Book Antiqua" w:hAnsi="Book Antiqua"/>
                <w:sz w:val="16"/>
              </w:rPr>
              <w:t>None</w:t>
            </w:r>
          </w:p>
        </w:tc>
        <w:tc>
          <w:tcPr>
            <w:tcW w:w="1276" w:type="dxa"/>
          </w:tcPr>
          <w:p w14:paraId="0EAC51D3" w14:textId="77777777" w:rsidR="00D143F9" w:rsidRPr="009571E5" w:rsidRDefault="00D143F9" w:rsidP="00146B86">
            <w:pPr>
              <w:rPr>
                <w:rFonts w:ascii="Book Antiqua" w:hAnsi="Book Antiqua"/>
                <w:sz w:val="16"/>
              </w:rPr>
            </w:pPr>
            <w:r w:rsidRPr="009571E5">
              <w:rPr>
                <w:rFonts w:ascii="Book Antiqua" w:hAnsi="Book Antiqua"/>
                <w:sz w:val="16"/>
              </w:rPr>
              <w:t>MD -6.16 days (-7.44 to -4.88)</w:t>
            </w:r>
          </w:p>
        </w:tc>
        <w:tc>
          <w:tcPr>
            <w:tcW w:w="1276" w:type="dxa"/>
          </w:tcPr>
          <w:p w14:paraId="03CBD60F" w14:textId="77777777" w:rsidR="00D143F9" w:rsidRPr="009571E5" w:rsidRDefault="00D143F9" w:rsidP="00146B86">
            <w:pPr>
              <w:rPr>
                <w:rFonts w:ascii="Book Antiqua" w:hAnsi="Book Antiqua"/>
                <w:sz w:val="16"/>
              </w:rPr>
            </w:pPr>
            <w:r w:rsidRPr="009571E5">
              <w:rPr>
                <w:rFonts w:ascii="Book Antiqua" w:hAnsi="Book Antiqua"/>
                <w:sz w:val="16"/>
              </w:rPr>
              <w:t xml:space="preserve">Moderate </w:t>
            </w:r>
            <w:r w:rsidRPr="009571E5">
              <w:rPr>
                <w:rFonts w:ascii="Cambria Math" w:hAnsi="Cambria Math" w:cs="Cambria Math"/>
                <w:sz w:val="16"/>
              </w:rPr>
              <w:t>⊕⊕⊕◯</w:t>
            </w:r>
          </w:p>
        </w:tc>
        <w:tc>
          <w:tcPr>
            <w:tcW w:w="2977" w:type="dxa"/>
          </w:tcPr>
          <w:p w14:paraId="3DDFBF16" w14:textId="7388077A" w:rsidR="000D1100" w:rsidRPr="009571E5" w:rsidRDefault="00D143F9" w:rsidP="00146B86">
            <w:pPr>
              <w:rPr>
                <w:rFonts w:ascii="Book Antiqua" w:hAnsi="Book Antiqua"/>
                <w:sz w:val="16"/>
                <w:lang w:val="en-US"/>
              </w:rPr>
            </w:pPr>
            <w:r w:rsidRPr="009571E5">
              <w:rPr>
                <w:rFonts w:ascii="Book Antiqua" w:hAnsi="Book Antiqua"/>
                <w:sz w:val="16"/>
                <w:lang w:val="en-US"/>
              </w:rPr>
              <w:t>Significant reduction in closure time. Consistent effect across studies (I² = 0%).</w:t>
            </w:r>
          </w:p>
        </w:tc>
      </w:tr>
      <w:tr w:rsidR="00D143F9" w:rsidRPr="00D139A4" w14:paraId="4DEB283F" w14:textId="77777777" w:rsidTr="00D143F9">
        <w:tc>
          <w:tcPr>
            <w:tcW w:w="1310" w:type="dxa"/>
          </w:tcPr>
          <w:p w14:paraId="1BE49D4B" w14:textId="77777777" w:rsidR="00D143F9" w:rsidRPr="009571E5" w:rsidRDefault="00D143F9" w:rsidP="00146B86">
            <w:pPr>
              <w:rPr>
                <w:rFonts w:ascii="Book Antiqua" w:hAnsi="Book Antiqua"/>
                <w:b/>
                <w:sz w:val="16"/>
              </w:rPr>
            </w:pPr>
            <w:r w:rsidRPr="009571E5">
              <w:rPr>
                <w:rFonts w:ascii="Book Antiqua" w:hAnsi="Book Antiqua"/>
                <w:b/>
                <w:sz w:val="16"/>
              </w:rPr>
              <w:t>Hospital Length of Stay</w:t>
            </w:r>
          </w:p>
        </w:tc>
        <w:tc>
          <w:tcPr>
            <w:tcW w:w="1310" w:type="dxa"/>
          </w:tcPr>
          <w:p w14:paraId="2C730E8E" w14:textId="77777777" w:rsidR="00D143F9" w:rsidRPr="009571E5" w:rsidRDefault="00D143F9" w:rsidP="00146B86">
            <w:pPr>
              <w:rPr>
                <w:rFonts w:ascii="Book Antiqua" w:hAnsi="Book Antiqua"/>
                <w:sz w:val="16"/>
              </w:rPr>
            </w:pPr>
            <w:r w:rsidRPr="009571E5">
              <w:rPr>
                <w:rFonts w:ascii="Book Antiqua" w:hAnsi="Book Antiqua"/>
                <w:sz w:val="16"/>
              </w:rPr>
              <w:t>2 (118)</w:t>
            </w:r>
          </w:p>
        </w:tc>
        <w:tc>
          <w:tcPr>
            <w:tcW w:w="1203" w:type="dxa"/>
          </w:tcPr>
          <w:p w14:paraId="55021BED" w14:textId="77777777" w:rsidR="00D143F9" w:rsidRPr="009571E5" w:rsidRDefault="00D143F9" w:rsidP="00146B86">
            <w:pPr>
              <w:rPr>
                <w:rFonts w:ascii="Book Antiqua" w:hAnsi="Book Antiqua"/>
                <w:sz w:val="16"/>
              </w:rPr>
            </w:pPr>
            <w:r w:rsidRPr="009571E5">
              <w:rPr>
                <w:rFonts w:ascii="Book Antiqua" w:hAnsi="Book Antiqua"/>
                <w:sz w:val="16"/>
              </w:rPr>
              <w:t>Serious</w:t>
            </w:r>
            <w:r w:rsidRPr="009571E5">
              <w:rPr>
                <w:rFonts w:ascii="Book Antiqua" w:hAnsi="Book Antiqua"/>
                <w:color w:val="000000" w:themeColor="text1"/>
                <w:sz w:val="24"/>
                <w:szCs w:val="24"/>
                <w:vertAlign w:val="superscript"/>
              </w:rPr>
              <w:t xml:space="preserve"> a</w:t>
            </w:r>
          </w:p>
        </w:tc>
        <w:tc>
          <w:tcPr>
            <w:tcW w:w="1275" w:type="dxa"/>
          </w:tcPr>
          <w:p w14:paraId="4CF631BB" w14:textId="77777777" w:rsidR="00D143F9" w:rsidRPr="009571E5" w:rsidRDefault="00D143F9" w:rsidP="00146B86">
            <w:pPr>
              <w:rPr>
                <w:rFonts w:ascii="Book Antiqua" w:hAnsi="Book Antiqua"/>
                <w:sz w:val="16"/>
              </w:rPr>
            </w:pPr>
            <w:r w:rsidRPr="009571E5">
              <w:rPr>
                <w:rFonts w:ascii="Book Antiqua" w:hAnsi="Book Antiqua"/>
                <w:sz w:val="16"/>
              </w:rPr>
              <w:t>Not serious</w:t>
            </w:r>
            <w:r w:rsidRPr="009571E5">
              <w:rPr>
                <w:rFonts w:ascii="Book Antiqua" w:hAnsi="Book Antiqua"/>
                <w:color w:val="000000" w:themeColor="text1"/>
                <w:sz w:val="24"/>
                <w:szCs w:val="24"/>
                <w:vertAlign w:val="superscript"/>
              </w:rPr>
              <w:t xml:space="preserve"> b</w:t>
            </w:r>
          </w:p>
        </w:tc>
        <w:tc>
          <w:tcPr>
            <w:tcW w:w="1276" w:type="dxa"/>
          </w:tcPr>
          <w:p w14:paraId="1BDEBC96" w14:textId="77777777" w:rsidR="00D143F9" w:rsidRPr="009571E5" w:rsidRDefault="00D143F9" w:rsidP="00146B86">
            <w:pPr>
              <w:rPr>
                <w:rFonts w:ascii="Book Antiqua" w:hAnsi="Book Antiqua"/>
                <w:sz w:val="16"/>
              </w:rPr>
            </w:pPr>
            <w:r w:rsidRPr="009571E5">
              <w:rPr>
                <w:rFonts w:ascii="Book Antiqua" w:hAnsi="Book Antiqua"/>
                <w:sz w:val="16"/>
              </w:rPr>
              <w:t>Not serious</w:t>
            </w:r>
          </w:p>
        </w:tc>
        <w:tc>
          <w:tcPr>
            <w:tcW w:w="1276" w:type="dxa"/>
          </w:tcPr>
          <w:p w14:paraId="4AF57E50" w14:textId="77777777" w:rsidR="00D143F9" w:rsidRPr="009571E5" w:rsidRDefault="00D143F9" w:rsidP="00146B86">
            <w:pPr>
              <w:rPr>
                <w:rFonts w:ascii="Book Antiqua" w:hAnsi="Book Antiqua"/>
                <w:sz w:val="16"/>
              </w:rPr>
            </w:pPr>
            <w:r w:rsidRPr="009571E5">
              <w:rPr>
                <w:rFonts w:ascii="Book Antiqua" w:hAnsi="Book Antiqua"/>
                <w:sz w:val="16"/>
              </w:rPr>
              <w:t>Serious</w:t>
            </w:r>
            <w:r w:rsidRPr="009571E5">
              <w:rPr>
                <w:rFonts w:ascii="Book Antiqua" w:hAnsi="Book Antiqua"/>
                <w:color w:val="000000" w:themeColor="text1"/>
                <w:sz w:val="24"/>
                <w:szCs w:val="24"/>
                <w:vertAlign w:val="superscript"/>
              </w:rPr>
              <w:t xml:space="preserve"> c</w:t>
            </w:r>
          </w:p>
        </w:tc>
        <w:tc>
          <w:tcPr>
            <w:tcW w:w="1417" w:type="dxa"/>
          </w:tcPr>
          <w:p w14:paraId="46FBA944" w14:textId="77777777" w:rsidR="00D143F9" w:rsidRPr="009571E5" w:rsidRDefault="00D143F9" w:rsidP="00146B86">
            <w:pPr>
              <w:rPr>
                <w:rFonts w:ascii="Book Antiqua" w:hAnsi="Book Antiqua"/>
                <w:sz w:val="16"/>
              </w:rPr>
            </w:pPr>
            <w:r w:rsidRPr="009571E5">
              <w:rPr>
                <w:rFonts w:ascii="Book Antiqua" w:hAnsi="Book Antiqua"/>
                <w:sz w:val="16"/>
              </w:rPr>
              <w:t>None</w:t>
            </w:r>
          </w:p>
        </w:tc>
        <w:tc>
          <w:tcPr>
            <w:tcW w:w="1276" w:type="dxa"/>
          </w:tcPr>
          <w:p w14:paraId="3F996640" w14:textId="77777777" w:rsidR="00D143F9" w:rsidRPr="009571E5" w:rsidRDefault="00D143F9" w:rsidP="00146B86">
            <w:pPr>
              <w:rPr>
                <w:rFonts w:ascii="Book Antiqua" w:hAnsi="Book Antiqua"/>
                <w:sz w:val="16"/>
              </w:rPr>
            </w:pPr>
            <w:r w:rsidRPr="009571E5">
              <w:rPr>
                <w:rFonts w:ascii="Book Antiqua" w:hAnsi="Book Antiqua"/>
                <w:sz w:val="16"/>
              </w:rPr>
              <w:t>MD -4.00 days (-7.99 to -0.01)</w:t>
            </w:r>
          </w:p>
        </w:tc>
        <w:tc>
          <w:tcPr>
            <w:tcW w:w="1276" w:type="dxa"/>
          </w:tcPr>
          <w:p w14:paraId="7AF48933" w14:textId="77777777" w:rsidR="00D143F9" w:rsidRPr="009571E5" w:rsidRDefault="00D143F9" w:rsidP="00146B86">
            <w:pPr>
              <w:rPr>
                <w:rFonts w:ascii="Book Antiqua" w:hAnsi="Book Antiqua"/>
                <w:sz w:val="16"/>
              </w:rPr>
            </w:pPr>
            <w:r w:rsidRPr="009571E5">
              <w:rPr>
                <w:rFonts w:ascii="Book Antiqua" w:hAnsi="Book Antiqua"/>
                <w:sz w:val="16"/>
              </w:rPr>
              <w:t xml:space="preserve">Low </w:t>
            </w:r>
            <w:r w:rsidRPr="009571E5">
              <w:rPr>
                <w:rFonts w:ascii="Cambria Math" w:hAnsi="Cambria Math" w:cs="Cambria Math"/>
                <w:sz w:val="16"/>
              </w:rPr>
              <w:t>⊕⊕◯◯</w:t>
            </w:r>
          </w:p>
        </w:tc>
        <w:tc>
          <w:tcPr>
            <w:tcW w:w="2977" w:type="dxa"/>
          </w:tcPr>
          <w:p w14:paraId="12407592" w14:textId="4493CE81" w:rsidR="000D1100" w:rsidRPr="009571E5" w:rsidRDefault="00D143F9" w:rsidP="00146B86">
            <w:pPr>
              <w:rPr>
                <w:rFonts w:ascii="Book Antiqua" w:hAnsi="Book Antiqua"/>
                <w:sz w:val="16"/>
                <w:lang w:val="en-US"/>
              </w:rPr>
            </w:pPr>
            <w:r w:rsidRPr="009571E5">
              <w:rPr>
                <w:rFonts w:ascii="Book Antiqua" w:hAnsi="Book Antiqua"/>
                <w:sz w:val="16"/>
                <w:lang w:val="en-US"/>
              </w:rPr>
              <w:t>Significant reduction in hospital stay, but limited by few studies and small sample size.</w:t>
            </w:r>
          </w:p>
        </w:tc>
      </w:tr>
      <w:tr w:rsidR="00D143F9" w:rsidRPr="009571E5" w14:paraId="250B0FE6" w14:textId="77777777" w:rsidTr="00D143F9">
        <w:tc>
          <w:tcPr>
            <w:tcW w:w="1310" w:type="dxa"/>
          </w:tcPr>
          <w:p w14:paraId="5173DA4B" w14:textId="77777777" w:rsidR="00D143F9" w:rsidRPr="009571E5" w:rsidRDefault="00D143F9" w:rsidP="00146B86">
            <w:pPr>
              <w:rPr>
                <w:rFonts w:ascii="Book Antiqua" w:hAnsi="Book Antiqua"/>
                <w:b/>
                <w:sz w:val="16"/>
              </w:rPr>
            </w:pPr>
            <w:r w:rsidRPr="009571E5">
              <w:rPr>
                <w:rFonts w:ascii="Book Antiqua" w:hAnsi="Book Antiqua"/>
                <w:b/>
                <w:sz w:val="16"/>
              </w:rPr>
              <w:t>Clinical Complications</w:t>
            </w:r>
          </w:p>
        </w:tc>
        <w:tc>
          <w:tcPr>
            <w:tcW w:w="1310" w:type="dxa"/>
          </w:tcPr>
          <w:p w14:paraId="648A4E2E" w14:textId="77777777" w:rsidR="00D143F9" w:rsidRPr="009571E5" w:rsidRDefault="00D143F9" w:rsidP="00146B86">
            <w:pPr>
              <w:rPr>
                <w:rFonts w:ascii="Book Antiqua" w:hAnsi="Book Antiqua"/>
                <w:sz w:val="16"/>
              </w:rPr>
            </w:pPr>
            <w:r w:rsidRPr="009571E5">
              <w:rPr>
                <w:rFonts w:ascii="Book Antiqua" w:hAnsi="Book Antiqua"/>
                <w:sz w:val="16"/>
              </w:rPr>
              <w:t>6 (254)</w:t>
            </w:r>
          </w:p>
        </w:tc>
        <w:tc>
          <w:tcPr>
            <w:tcW w:w="1203" w:type="dxa"/>
          </w:tcPr>
          <w:p w14:paraId="28E619DF" w14:textId="77777777" w:rsidR="00D143F9" w:rsidRPr="009571E5" w:rsidRDefault="00D143F9" w:rsidP="00146B86">
            <w:pPr>
              <w:rPr>
                <w:rFonts w:ascii="Book Antiqua" w:hAnsi="Book Antiqua"/>
                <w:sz w:val="16"/>
              </w:rPr>
            </w:pPr>
            <w:r w:rsidRPr="009571E5">
              <w:rPr>
                <w:rFonts w:ascii="Book Antiqua" w:hAnsi="Book Antiqua"/>
                <w:sz w:val="16"/>
              </w:rPr>
              <w:t>Serious</w:t>
            </w:r>
            <w:r w:rsidRPr="009571E5">
              <w:rPr>
                <w:rFonts w:ascii="Book Antiqua" w:hAnsi="Book Antiqua"/>
                <w:color w:val="000000" w:themeColor="text1"/>
                <w:sz w:val="24"/>
                <w:szCs w:val="24"/>
                <w:vertAlign w:val="superscript"/>
              </w:rPr>
              <w:t xml:space="preserve"> a</w:t>
            </w:r>
          </w:p>
        </w:tc>
        <w:tc>
          <w:tcPr>
            <w:tcW w:w="1275" w:type="dxa"/>
          </w:tcPr>
          <w:p w14:paraId="1E7B4DB7" w14:textId="77777777" w:rsidR="00D143F9" w:rsidRPr="009571E5" w:rsidRDefault="00D143F9" w:rsidP="00146B86">
            <w:pPr>
              <w:rPr>
                <w:rFonts w:ascii="Book Antiqua" w:hAnsi="Book Antiqua"/>
                <w:sz w:val="16"/>
              </w:rPr>
            </w:pPr>
            <w:r w:rsidRPr="009571E5">
              <w:rPr>
                <w:rFonts w:ascii="Book Antiqua" w:hAnsi="Book Antiqua"/>
                <w:sz w:val="16"/>
              </w:rPr>
              <w:t>Not serious</w:t>
            </w:r>
            <w:r w:rsidRPr="009571E5">
              <w:rPr>
                <w:rFonts w:ascii="Book Antiqua" w:hAnsi="Book Antiqua"/>
                <w:color w:val="000000" w:themeColor="text1"/>
                <w:sz w:val="24"/>
                <w:szCs w:val="24"/>
                <w:vertAlign w:val="superscript"/>
              </w:rPr>
              <w:t xml:space="preserve"> b</w:t>
            </w:r>
          </w:p>
        </w:tc>
        <w:tc>
          <w:tcPr>
            <w:tcW w:w="1276" w:type="dxa"/>
          </w:tcPr>
          <w:p w14:paraId="7B6126D1" w14:textId="77777777" w:rsidR="00D143F9" w:rsidRPr="009571E5" w:rsidRDefault="00D143F9" w:rsidP="00146B86">
            <w:pPr>
              <w:rPr>
                <w:rFonts w:ascii="Book Antiqua" w:hAnsi="Book Antiqua"/>
                <w:sz w:val="16"/>
              </w:rPr>
            </w:pPr>
            <w:r w:rsidRPr="009571E5">
              <w:rPr>
                <w:rFonts w:ascii="Book Antiqua" w:hAnsi="Book Antiqua"/>
                <w:sz w:val="16"/>
              </w:rPr>
              <w:t>Not serious</w:t>
            </w:r>
          </w:p>
        </w:tc>
        <w:tc>
          <w:tcPr>
            <w:tcW w:w="1276" w:type="dxa"/>
          </w:tcPr>
          <w:p w14:paraId="591B08C0" w14:textId="77777777" w:rsidR="00D143F9" w:rsidRPr="009571E5" w:rsidRDefault="00D143F9" w:rsidP="00146B86">
            <w:pPr>
              <w:rPr>
                <w:rFonts w:ascii="Book Antiqua" w:hAnsi="Book Antiqua"/>
                <w:sz w:val="16"/>
              </w:rPr>
            </w:pPr>
            <w:r w:rsidRPr="009571E5">
              <w:rPr>
                <w:rFonts w:ascii="Book Antiqua" w:hAnsi="Book Antiqua"/>
                <w:sz w:val="16"/>
              </w:rPr>
              <w:t>Serious</w:t>
            </w:r>
            <w:r w:rsidRPr="009571E5">
              <w:rPr>
                <w:rFonts w:ascii="Book Antiqua" w:hAnsi="Book Antiqua"/>
                <w:color w:val="000000" w:themeColor="text1"/>
                <w:sz w:val="24"/>
                <w:szCs w:val="24"/>
                <w:vertAlign w:val="superscript"/>
              </w:rPr>
              <w:t xml:space="preserve"> c</w:t>
            </w:r>
          </w:p>
        </w:tc>
        <w:tc>
          <w:tcPr>
            <w:tcW w:w="1417" w:type="dxa"/>
          </w:tcPr>
          <w:p w14:paraId="7D2B8C15" w14:textId="77777777" w:rsidR="00D143F9" w:rsidRPr="009571E5" w:rsidRDefault="00D143F9" w:rsidP="00146B86">
            <w:pPr>
              <w:rPr>
                <w:rFonts w:ascii="Book Antiqua" w:hAnsi="Book Antiqua"/>
                <w:sz w:val="16"/>
              </w:rPr>
            </w:pPr>
            <w:r w:rsidRPr="009571E5">
              <w:rPr>
                <w:rFonts w:ascii="Book Antiqua" w:hAnsi="Book Antiqua"/>
                <w:sz w:val="16"/>
              </w:rPr>
              <w:t>None</w:t>
            </w:r>
          </w:p>
        </w:tc>
        <w:tc>
          <w:tcPr>
            <w:tcW w:w="1276" w:type="dxa"/>
          </w:tcPr>
          <w:p w14:paraId="0AA9F5C5" w14:textId="77777777" w:rsidR="00D143F9" w:rsidRPr="009571E5" w:rsidRDefault="00D143F9" w:rsidP="00146B86">
            <w:pPr>
              <w:rPr>
                <w:rFonts w:ascii="Book Antiqua" w:hAnsi="Book Antiqua"/>
                <w:sz w:val="16"/>
              </w:rPr>
            </w:pPr>
            <w:r w:rsidRPr="009571E5">
              <w:rPr>
                <w:rFonts w:ascii="Book Antiqua" w:hAnsi="Book Antiqua"/>
                <w:sz w:val="16"/>
              </w:rPr>
              <w:t>RR 0.76 (0.55 to 1.05)</w:t>
            </w:r>
          </w:p>
        </w:tc>
        <w:tc>
          <w:tcPr>
            <w:tcW w:w="1276" w:type="dxa"/>
          </w:tcPr>
          <w:p w14:paraId="35464F06" w14:textId="77777777" w:rsidR="00D143F9" w:rsidRPr="009571E5" w:rsidRDefault="00D143F9" w:rsidP="00146B86">
            <w:pPr>
              <w:rPr>
                <w:rFonts w:ascii="Book Antiqua" w:hAnsi="Book Antiqua"/>
                <w:sz w:val="16"/>
              </w:rPr>
            </w:pPr>
            <w:r w:rsidRPr="009571E5">
              <w:rPr>
                <w:rFonts w:ascii="Book Antiqua" w:hAnsi="Book Antiqua"/>
                <w:sz w:val="16"/>
              </w:rPr>
              <w:t xml:space="preserve">Low </w:t>
            </w:r>
            <w:r w:rsidRPr="009571E5">
              <w:rPr>
                <w:rFonts w:ascii="Cambria Math" w:hAnsi="Cambria Math" w:cs="Cambria Math"/>
                <w:sz w:val="16"/>
              </w:rPr>
              <w:t>⊕⊕◯◯</w:t>
            </w:r>
          </w:p>
        </w:tc>
        <w:tc>
          <w:tcPr>
            <w:tcW w:w="2977" w:type="dxa"/>
          </w:tcPr>
          <w:p w14:paraId="65526574" w14:textId="7565F603" w:rsidR="0048372D" w:rsidRPr="009571E5" w:rsidRDefault="00D143F9" w:rsidP="00146B86">
            <w:pPr>
              <w:rPr>
                <w:rFonts w:ascii="Book Antiqua" w:hAnsi="Book Antiqua"/>
                <w:sz w:val="16"/>
                <w:lang w:val="en-US"/>
              </w:rPr>
            </w:pPr>
            <w:r w:rsidRPr="009571E5">
              <w:rPr>
                <w:rFonts w:ascii="Book Antiqua" w:hAnsi="Book Antiqua"/>
                <w:sz w:val="16"/>
                <w:lang w:val="en-US"/>
              </w:rPr>
              <w:t>No significant difference. Wide CI and moderate sample size limit precision.</w:t>
            </w:r>
          </w:p>
        </w:tc>
      </w:tr>
      <w:tr w:rsidR="00D143F9" w:rsidRPr="009571E5" w14:paraId="759A6A35" w14:textId="77777777" w:rsidTr="00D143F9">
        <w:tc>
          <w:tcPr>
            <w:tcW w:w="1310" w:type="dxa"/>
          </w:tcPr>
          <w:p w14:paraId="346DAE97" w14:textId="77777777" w:rsidR="00D143F9" w:rsidRPr="009571E5" w:rsidRDefault="00D143F9" w:rsidP="00146B86">
            <w:pPr>
              <w:rPr>
                <w:rFonts w:ascii="Book Antiqua" w:hAnsi="Book Antiqua"/>
                <w:b/>
                <w:sz w:val="16"/>
              </w:rPr>
            </w:pPr>
            <w:r w:rsidRPr="009571E5">
              <w:rPr>
                <w:rFonts w:ascii="Book Antiqua" w:hAnsi="Book Antiqua"/>
                <w:b/>
                <w:sz w:val="16"/>
              </w:rPr>
              <w:t>Surgical Intervention</w:t>
            </w:r>
          </w:p>
        </w:tc>
        <w:tc>
          <w:tcPr>
            <w:tcW w:w="1310" w:type="dxa"/>
          </w:tcPr>
          <w:p w14:paraId="6ECFADFF" w14:textId="77777777" w:rsidR="00D143F9" w:rsidRPr="009571E5" w:rsidRDefault="00D143F9" w:rsidP="00146B86">
            <w:pPr>
              <w:rPr>
                <w:rFonts w:ascii="Book Antiqua" w:hAnsi="Book Antiqua"/>
                <w:sz w:val="16"/>
              </w:rPr>
            </w:pPr>
            <w:r w:rsidRPr="009571E5">
              <w:rPr>
                <w:rFonts w:ascii="Book Antiqua" w:hAnsi="Book Antiqua"/>
                <w:sz w:val="16"/>
              </w:rPr>
              <w:t>6 (268)</w:t>
            </w:r>
          </w:p>
        </w:tc>
        <w:tc>
          <w:tcPr>
            <w:tcW w:w="1203" w:type="dxa"/>
          </w:tcPr>
          <w:p w14:paraId="3052F2FE" w14:textId="77777777" w:rsidR="00D143F9" w:rsidRPr="009571E5" w:rsidRDefault="00D143F9" w:rsidP="00146B86">
            <w:pPr>
              <w:rPr>
                <w:rFonts w:ascii="Book Antiqua" w:hAnsi="Book Antiqua"/>
                <w:sz w:val="16"/>
              </w:rPr>
            </w:pPr>
            <w:r w:rsidRPr="009571E5">
              <w:rPr>
                <w:rFonts w:ascii="Book Antiqua" w:hAnsi="Book Antiqua"/>
                <w:sz w:val="16"/>
              </w:rPr>
              <w:t>Serious</w:t>
            </w:r>
            <w:r w:rsidRPr="009571E5">
              <w:rPr>
                <w:rFonts w:ascii="Book Antiqua" w:hAnsi="Book Antiqua"/>
                <w:color w:val="000000" w:themeColor="text1"/>
                <w:sz w:val="24"/>
                <w:szCs w:val="24"/>
                <w:vertAlign w:val="superscript"/>
              </w:rPr>
              <w:t xml:space="preserve"> a</w:t>
            </w:r>
          </w:p>
        </w:tc>
        <w:tc>
          <w:tcPr>
            <w:tcW w:w="1275" w:type="dxa"/>
          </w:tcPr>
          <w:p w14:paraId="7940CEB7" w14:textId="77777777" w:rsidR="00D143F9" w:rsidRPr="009571E5" w:rsidRDefault="00D143F9" w:rsidP="00146B86">
            <w:pPr>
              <w:rPr>
                <w:rFonts w:ascii="Book Antiqua" w:hAnsi="Book Antiqua"/>
                <w:sz w:val="16"/>
              </w:rPr>
            </w:pPr>
            <w:r w:rsidRPr="009571E5">
              <w:rPr>
                <w:rFonts w:ascii="Book Antiqua" w:hAnsi="Book Antiqua"/>
                <w:sz w:val="16"/>
              </w:rPr>
              <w:t>Not serious</w:t>
            </w:r>
            <w:r w:rsidRPr="009571E5">
              <w:rPr>
                <w:rFonts w:ascii="Book Antiqua" w:hAnsi="Book Antiqua"/>
                <w:color w:val="000000" w:themeColor="text1"/>
                <w:sz w:val="24"/>
                <w:szCs w:val="24"/>
                <w:vertAlign w:val="superscript"/>
              </w:rPr>
              <w:t xml:space="preserve"> b</w:t>
            </w:r>
          </w:p>
        </w:tc>
        <w:tc>
          <w:tcPr>
            <w:tcW w:w="1276" w:type="dxa"/>
          </w:tcPr>
          <w:p w14:paraId="46473785" w14:textId="77777777" w:rsidR="00D143F9" w:rsidRPr="009571E5" w:rsidRDefault="00D143F9" w:rsidP="00146B86">
            <w:pPr>
              <w:rPr>
                <w:rFonts w:ascii="Book Antiqua" w:hAnsi="Book Antiqua"/>
                <w:sz w:val="16"/>
              </w:rPr>
            </w:pPr>
            <w:r w:rsidRPr="009571E5">
              <w:rPr>
                <w:rFonts w:ascii="Book Antiqua" w:hAnsi="Book Antiqua"/>
                <w:sz w:val="16"/>
              </w:rPr>
              <w:t>Not serious</w:t>
            </w:r>
          </w:p>
        </w:tc>
        <w:tc>
          <w:tcPr>
            <w:tcW w:w="1276" w:type="dxa"/>
          </w:tcPr>
          <w:p w14:paraId="3529B8AB" w14:textId="77777777" w:rsidR="00D143F9" w:rsidRPr="009571E5" w:rsidRDefault="00D143F9" w:rsidP="00146B86">
            <w:pPr>
              <w:rPr>
                <w:rFonts w:ascii="Book Antiqua" w:hAnsi="Book Antiqua"/>
                <w:sz w:val="16"/>
              </w:rPr>
            </w:pPr>
            <w:r w:rsidRPr="009571E5">
              <w:rPr>
                <w:rFonts w:ascii="Book Antiqua" w:hAnsi="Book Antiqua"/>
                <w:sz w:val="16"/>
              </w:rPr>
              <w:t>Serious</w:t>
            </w:r>
            <w:r w:rsidRPr="009571E5">
              <w:rPr>
                <w:rFonts w:ascii="Book Antiqua" w:hAnsi="Book Antiqua"/>
                <w:color w:val="000000" w:themeColor="text1"/>
                <w:sz w:val="24"/>
                <w:szCs w:val="24"/>
                <w:vertAlign w:val="superscript"/>
              </w:rPr>
              <w:t xml:space="preserve"> c</w:t>
            </w:r>
          </w:p>
        </w:tc>
        <w:tc>
          <w:tcPr>
            <w:tcW w:w="1417" w:type="dxa"/>
          </w:tcPr>
          <w:p w14:paraId="1C9E3950" w14:textId="77777777" w:rsidR="00D143F9" w:rsidRPr="009571E5" w:rsidRDefault="00D143F9" w:rsidP="00146B86">
            <w:pPr>
              <w:rPr>
                <w:rFonts w:ascii="Book Antiqua" w:hAnsi="Book Antiqua"/>
                <w:sz w:val="16"/>
              </w:rPr>
            </w:pPr>
            <w:r w:rsidRPr="009571E5">
              <w:rPr>
                <w:rFonts w:ascii="Book Antiqua" w:hAnsi="Book Antiqua"/>
                <w:sz w:val="16"/>
              </w:rPr>
              <w:t>None</w:t>
            </w:r>
          </w:p>
        </w:tc>
        <w:tc>
          <w:tcPr>
            <w:tcW w:w="1276" w:type="dxa"/>
          </w:tcPr>
          <w:p w14:paraId="7D096695" w14:textId="77777777" w:rsidR="00D143F9" w:rsidRPr="009571E5" w:rsidRDefault="00D143F9" w:rsidP="00146B86">
            <w:pPr>
              <w:rPr>
                <w:rFonts w:ascii="Book Antiqua" w:hAnsi="Book Antiqua"/>
                <w:sz w:val="16"/>
              </w:rPr>
            </w:pPr>
            <w:r w:rsidRPr="009571E5">
              <w:rPr>
                <w:rFonts w:ascii="Book Antiqua" w:hAnsi="Book Antiqua"/>
                <w:sz w:val="16"/>
              </w:rPr>
              <w:t>RR 0.67 (0.38 to 1.19)</w:t>
            </w:r>
          </w:p>
        </w:tc>
        <w:tc>
          <w:tcPr>
            <w:tcW w:w="1276" w:type="dxa"/>
          </w:tcPr>
          <w:p w14:paraId="6CB16EFE" w14:textId="77777777" w:rsidR="00D143F9" w:rsidRPr="009571E5" w:rsidRDefault="00D143F9" w:rsidP="00146B86">
            <w:pPr>
              <w:rPr>
                <w:rFonts w:ascii="Book Antiqua" w:hAnsi="Book Antiqua"/>
                <w:sz w:val="16"/>
              </w:rPr>
            </w:pPr>
            <w:r w:rsidRPr="009571E5">
              <w:rPr>
                <w:rFonts w:ascii="Book Antiqua" w:hAnsi="Book Antiqua"/>
                <w:sz w:val="16"/>
              </w:rPr>
              <w:t xml:space="preserve">Low </w:t>
            </w:r>
            <w:r w:rsidRPr="009571E5">
              <w:rPr>
                <w:rFonts w:ascii="Cambria Math" w:hAnsi="Cambria Math" w:cs="Cambria Math"/>
                <w:sz w:val="16"/>
              </w:rPr>
              <w:t>⊕⊕◯◯</w:t>
            </w:r>
          </w:p>
        </w:tc>
        <w:tc>
          <w:tcPr>
            <w:tcW w:w="2977" w:type="dxa"/>
          </w:tcPr>
          <w:p w14:paraId="6DFBF2B1" w14:textId="639BD869" w:rsidR="000D1100" w:rsidRPr="009571E5" w:rsidRDefault="00D143F9" w:rsidP="00146B86">
            <w:pPr>
              <w:rPr>
                <w:rFonts w:ascii="Book Antiqua" w:hAnsi="Book Antiqua"/>
                <w:sz w:val="16"/>
                <w:lang w:val="en-US"/>
              </w:rPr>
            </w:pPr>
            <w:r w:rsidRPr="009571E5">
              <w:rPr>
                <w:rFonts w:ascii="Book Antiqua" w:hAnsi="Book Antiqua"/>
                <w:sz w:val="16"/>
                <w:lang w:val="en-US"/>
              </w:rPr>
              <w:t>No significant difference. Wide CI and moderate heterogeneity (I² = 31%) reduce certainty.</w:t>
            </w:r>
          </w:p>
        </w:tc>
      </w:tr>
      <w:tr w:rsidR="00D143F9" w:rsidRPr="009571E5" w14:paraId="6717EF8F" w14:textId="77777777" w:rsidTr="00D143F9">
        <w:tc>
          <w:tcPr>
            <w:tcW w:w="1310" w:type="dxa"/>
            <w:tcBorders>
              <w:bottom w:val="single" w:sz="4" w:space="0" w:color="auto"/>
            </w:tcBorders>
          </w:tcPr>
          <w:p w14:paraId="3FE96179" w14:textId="77777777" w:rsidR="00D143F9" w:rsidRPr="009571E5" w:rsidRDefault="00D143F9" w:rsidP="00146B86">
            <w:pPr>
              <w:rPr>
                <w:rFonts w:ascii="Book Antiqua" w:hAnsi="Book Antiqua"/>
                <w:b/>
                <w:sz w:val="16"/>
              </w:rPr>
            </w:pPr>
            <w:r w:rsidRPr="009571E5">
              <w:rPr>
                <w:rFonts w:ascii="Book Antiqua" w:hAnsi="Book Antiqua"/>
                <w:b/>
                <w:sz w:val="16"/>
              </w:rPr>
              <w:t>Mortality</w:t>
            </w:r>
          </w:p>
        </w:tc>
        <w:tc>
          <w:tcPr>
            <w:tcW w:w="1310" w:type="dxa"/>
            <w:tcBorders>
              <w:bottom w:val="single" w:sz="4" w:space="0" w:color="auto"/>
            </w:tcBorders>
          </w:tcPr>
          <w:p w14:paraId="774D4049" w14:textId="77777777" w:rsidR="00D143F9" w:rsidRPr="009571E5" w:rsidRDefault="00D143F9" w:rsidP="00146B86">
            <w:pPr>
              <w:rPr>
                <w:rFonts w:ascii="Book Antiqua" w:hAnsi="Book Antiqua"/>
                <w:sz w:val="16"/>
              </w:rPr>
            </w:pPr>
            <w:r w:rsidRPr="009571E5">
              <w:rPr>
                <w:rFonts w:ascii="Book Antiqua" w:hAnsi="Book Antiqua"/>
                <w:sz w:val="16"/>
              </w:rPr>
              <w:t>6 (324)</w:t>
            </w:r>
          </w:p>
        </w:tc>
        <w:tc>
          <w:tcPr>
            <w:tcW w:w="1203" w:type="dxa"/>
            <w:tcBorders>
              <w:bottom w:val="single" w:sz="4" w:space="0" w:color="auto"/>
            </w:tcBorders>
          </w:tcPr>
          <w:p w14:paraId="69A82ED9" w14:textId="77777777" w:rsidR="00D143F9" w:rsidRPr="009571E5" w:rsidRDefault="00D143F9" w:rsidP="00146B86">
            <w:pPr>
              <w:rPr>
                <w:rFonts w:ascii="Book Antiqua" w:hAnsi="Book Antiqua"/>
                <w:sz w:val="16"/>
              </w:rPr>
            </w:pPr>
            <w:r w:rsidRPr="009571E5">
              <w:rPr>
                <w:rFonts w:ascii="Book Antiqua" w:hAnsi="Book Antiqua"/>
                <w:sz w:val="16"/>
              </w:rPr>
              <w:t>Serious</w:t>
            </w:r>
            <w:r w:rsidRPr="009571E5">
              <w:rPr>
                <w:rFonts w:ascii="Book Antiqua" w:hAnsi="Book Antiqua"/>
                <w:color w:val="000000" w:themeColor="text1"/>
                <w:sz w:val="24"/>
                <w:szCs w:val="24"/>
                <w:vertAlign w:val="superscript"/>
              </w:rPr>
              <w:t xml:space="preserve"> a</w:t>
            </w:r>
          </w:p>
        </w:tc>
        <w:tc>
          <w:tcPr>
            <w:tcW w:w="1275" w:type="dxa"/>
            <w:tcBorders>
              <w:bottom w:val="single" w:sz="4" w:space="0" w:color="auto"/>
            </w:tcBorders>
          </w:tcPr>
          <w:p w14:paraId="741A1E42" w14:textId="77777777" w:rsidR="00D143F9" w:rsidRPr="009571E5" w:rsidRDefault="00D143F9" w:rsidP="00146B86">
            <w:pPr>
              <w:rPr>
                <w:rFonts w:ascii="Book Antiqua" w:hAnsi="Book Antiqua"/>
                <w:sz w:val="16"/>
              </w:rPr>
            </w:pPr>
            <w:r w:rsidRPr="009571E5">
              <w:rPr>
                <w:rFonts w:ascii="Book Antiqua" w:hAnsi="Book Antiqua"/>
                <w:sz w:val="16"/>
              </w:rPr>
              <w:t>Not serious</w:t>
            </w:r>
            <w:r w:rsidRPr="009571E5">
              <w:rPr>
                <w:rFonts w:ascii="Book Antiqua" w:hAnsi="Book Antiqua"/>
                <w:color w:val="000000" w:themeColor="text1"/>
                <w:sz w:val="24"/>
                <w:szCs w:val="24"/>
                <w:vertAlign w:val="superscript"/>
              </w:rPr>
              <w:t xml:space="preserve"> b</w:t>
            </w:r>
          </w:p>
        </w:tc>
        <w:tc>
          <w:tcPr>
            <w:tcW w:w="1276" w:type="dxa"/>
            <w:tcBorders>
              <w:bottom w:val="single" w:sz="4" w:space="0" w:color="auto"/>
            </w:tcBorders>
          </w:tcPr>
          <w:p w14:paraId="2907CB9B" w14:textId="77777777" w:rsidR="00D143F9" w:rsidRPr="009571E5" w:rsidRDefault="00D143F9" w:rsidP="00146B86">
            <w:pPr>
              <w:rPr>
                <w:rFonts w:ascii="Book Antiqua" w:hAnsi="Book Antiqua"/>
                <w:sz w:val="16"/>
              </w:rPr>
            </w:pPr>
            <w:r w:rsidRPr="009571E5">
              <w:rPr>
                <w:rFonts w:ascii="Book Antiqua" w:hAnsi="Book Antiqua"/>
                <w:sz w:val="16"/>
              </w:rPr>
              <w:t>Not serious</w:t>
            </w:r>
          </w:p>
        </w:tc>
        <w:tc>
          <w:tcPr>
            <w:tcW w:w="1276" w:type="dxa"/>
            <w:tcBorders>
              <w:bottom w:val="single" w:sz="4" w:space="0" w:color="auto"/>
            </w:tcBorders>
          </w:tcPr>
          <w:p w14:paraId="2B1AB614" w14:textId="77777777" w:rsidR="00D143F9" w:rsidRPr="009571E5" w:rsidRDefault="00D143F9" w:rsidP="00146B86">
            <w:pPr>
              <w:rPr>
                <w:rFonts w:ascii="Book Antiqua" w:hAnsi="Book Antiqua"/>
                <w:sz w:val="16"/>
              </w:rPr>
            </w:pPr>
            <w:r w:rsidRPr="009571E5">
              <w:rPr>
                <w:rFonts w:ascii="Book Antiqua" w:hAnsi="Book Antiqua"/>
                <w:sz w:val="16"/>
              </w:rPr>
              <w:t>Serious</w:t>
            </w:r>
            <w:r w:rsidRPr="009571E5">
              <w:rPr>
                <w:rFonts w:ascii="Book Antiqua" w:hAnsi="Book Antiqua"/>
                <w:color w:val="000000" w:themeColor="text1"/>
                <w:sz w:val="24"/>
                <w:szCs w:val="24"/>
                <w:vertAlign w:val="superscript"/>
              </w:rPr>
              <w:t xml:space="preserve"> c</w:t>
            </w:r>
          </w:p>
        </w:tc>
        <w:tc>
          <w:tcPr>
            <w:tcW w:w="1417" w:type="dxa"/>
            <w:tcBorders>
              <w:bottom w:val="single" w:sz="4" w:space="0" w:color="auto"/>
            </w:tcBorders>
          </w:tcPr>
          <w:p w14:paraId="3AC7DCA8" w14:textId="77777777" w:rsidR="00D143F9" w:rsidRPr="009571E5" w:rsidRDefault="00D143F9" w:rsidP="00146B86">
            <w:pPr>
              <w:rPr>
                <w:rFonts w:ascii="Book Antiqua" w:hAnsi="Book Antiqua"/>
                <w:sz w:val="16"/>
              </w:rPr>
            </w:pPr>
            <w:r w:rsidRPr="009571E5">
              <w:rPr>
                <w:rFonts w:ascii="Book Antiqua" w:hAnsi="Book Antiqua"/>
                <w:sz w:val="16"/>
              </w:rPr>
              <w:t>None</w:t>
            </w:r>
          </w:p>
        </w:tc>
        <w:tc>
          <w:tcPr>
            <w:tcW w:w="1276" w:type="dxa"/>
            <w:tcBorders>
              <w:bottom w:val="single" w:sz="4" w:space="0" w:color="auto"/>
            </w:tcBorders>
          </w:tcPr>
          <w:p w14:paraId="2068E622" w14:textId="77777777" w:rsidR="00D143F9" w:rsidRPr="009571E5" w:rsidRDefault="00D143F9" w:rsidP="00146B86">
            <w:pPr>
              <w:rPr>
                <w:rFonts w:ascii="Book Antiqua" w:hAnsi="Book Antiqua"/>
                <w:sz w:val="16"/>
              </w:rPr>
            </w:pPr>
            <w:r w:rsidRPr="009571E5">
              <w:rPr>
                <w:rFonts w:ascii="Book Antiqua" w:hAnsi="Book Antiqua"/>
                <w:sz w:val="16"/>
              </w:rPr>
              <w:t>RR 0.77 (0.44 to 1.35)</w:t>
            </w:r>
          </w:p>
        </w:tc>
        <w:tc>
          <w:tcPr>
            <w:tcW w:w="1276" w:type="dxa"/>
            <w:tcBorders>
              <w:bottom w:val="single" w:sz="4" w:space="0" w:color="auto"/>
            </w:tcBorders>
          </w:tcPr>
          <w:p w14:paraId="73517CAB" w14:textId="77777777" w:rsidR="00D143F9" w:rsidRPr="009571E5" w:rsidRDefault="00D143F9" w:rsidP="00146B86">
            <w:pPr>
              <w:rPr>
                <w:rFonts w:ascii="Book Antiqua" w:hAnsi="Book Antiqua"/>
                <w:sz w:val="16"/>
              </w:rPr>
            </w:pPr>
            <w:r w:rsidRPr="009571E5">
              <w:rPr>
                <w:rFonts w:ascii="Book Antiqua" w:hAnsi="Book Antiqua"/>
                <w:sz w:val="16"/>
              </w:rPr>
              <w:t xml:space="preserve">Low </w:t>
            </w:r>
            <w:r w:rsidRPr="009571E5">
              <w:rPr>
                <w:rFonts w:ascii="Cambria Math" w:hAnsi="Cambria Math" w:cs="Cambria Math"/>
                <w:sz w:val="16"/>
              </w:rPr>
              <w:t>⊕⊕◯◯</w:t>
            </w:r>
          </w:p>
        </w:tc>
        <w:tc>
          <w:tcPr>
            <w:tcW w:w="2977" w:type="dxa"/>
            <w:tcBorders>
              <w:bottom w:val="single" w:sz="4" w:space="0" w:color="auto"/>
            </w:tcBorders>
          </w:tcPr>
          <w:p w14:paraId="18288F8E" w14:textId="77777777" w:rsidR="00D143F9" w:rsidRPr="00272CC1" w:rsidRDefault="00D143F9" w:rsidP="00146B86">
            <w:pPr>
              <w:rPr>
                <w:rFonts w:ascii="Book Antiqua" w:hAnsi="Book Antiqua"/>
                <w:sz w:val="16"/>
                <w:lang w:val="en-US"/>
              </w:rPr>
            </w:pPr>
            <w:r w:rsidRPr="009571E5">
              <w:rPr>
                <w:rFonts w:ascii="Book Antiqua" w:hAnsi="Book Antiqua"/>
                <w:sz w:val="16"/>
                <w:lang w:val="en-US"/>
              </w:rPr>
              <w:t>No significant difference. Wide CI and moderate sample size limit precision.</w:t>
            </w:r>
          </w:p>
        </w:tc>
      </w:tr>
    </w:tbl>
    <w:p w14:paraId="1C4E2AE6" w14:textId="77777777" w:rsidR="00D143F9" w:rsidRPr="00371EC6" w:rsidRDefault="00D143F9" w:rsidP="00D143F9">
      <w:pPr>
        <w:pStyle w:val="3"/>
        <w:rPr>
          <w:rFonts w:ascii="Book Antiqua" w:hAnsi="Book Antiqua"/>
          <w:b w:val="0"/>
          <w:color w:val="000000" w:themeColor="text1"/>
          <w:sz w:val="24"/>
          <w:szCs w:val="24"/>
        </w:rPr>
      </w:pPr>
      <w:r>
        <w:rPr>
          <w:rFonts w:ascii="Book Antiqua" w:hAnsi="Book Antiqua"/>
          <w:color w:val="000000" w:themeColor="text1"/>
          <w:sz w:val="24"/>
          <w:szCs w:val="24"/>
        </w:rPr>
        <w:lastRenderedPageBreak/>
        <w:t xml:space="preserve">Legend: </w:t>
      </w:r>
      <w:r w:rsidRPr="00CD6BB9">
        <w:rPr>
          <w:rFonts w:ascii="Book Antiqua" w:hAnsi="Book Antiqua"/>
          <w:color w:val="000000" w:themeColor="text1"/>
          <w:sz w:val="24"/>
          <w:szCs w:val="24"/>
          <w:vertAlign w:val="superscript"/>
        </w:rPr>
        <w:t>a</w:t>
      </w:r>
      <w:r w:rsidRPr="00371EC6">
        <w:rPr>
          <w:rFonts w:ascii="Book Antiqua" w:hAnsi="Book Antiqua"/>
          <w:b w:val="0"/>
          <w:color w:val="000000" w:themeColor="text1"/>
          <w:sz w:val="24"/>
          <w:szCs w:val="24"/>
        </w:rPr>
        <w:t xml:space="preserve"> </w:t>
      </w:r>
      <w:r w:rsidRPr="00371EC6">
        <w:rPr>
          <w:rStyle w:val="a4"/>
          <w:rFonts w:ascii="Book Antiqua" w:hAnsi="Book Antiqua"/>
          <w:b/>
          <w:color w:val="000000" w:themeColor="text1"/>
          <w:sz w:val="24"/>
          <w:szCs w:val="24"/>
        </w:rPr>
        <w:t>Risk of Bias</w:t>
      </w:r>
      <w:r w:rsidRPr="00371EC6">
        <w:rPr>
          <w:rFonts w:ascii="Book Antiqua" w:hAnsi="Book Antiqua"/>
          <w:b w:val="0"/>
          <w:color w:val="000000" w:themeColor="text1"/>
          <w:sz w:val="24"/>
          <w:szCs w:val="24"/>
        </w:rPr>
        <w:t xml:space="preserve">: Downgraded due to concerns in randomization processes, lack of blinding in some trials, and potential selective reporting, as assessed by Cochrane RoB 2.0. Most studies had at least "some concerns" or "high risk" in one or more domains. </w:t>
      </w:r>
      <w:r w:rsidRPr="00CD6BB9">
        <w:rPr>
          <w:rFonts w:ascii="Book Antiqua" w:hAnsi="Book Antiqua"/>
          <w:color w:val="000000" w:themeColor="text1"/>
          <w:sz w:val="24"/>
          <w:szCs w:val="24"/>
          <w:vertAlign w:val="superscript"/>
        </w:rPr>
        <w:t>b</w:t>
      </w:r>
      <w:r w:rsidRPr="00371EC6">
        <w:rPr>
          <w:rFonts w:ascii="Book Antiqua" w:hAnsi="Book Antiqua"/>
          <w:b w:val="0"/>
          <w:color w:val="000000" w:themeColor="text1"/>
          <w:sz w:val="24"/>
          <w:szCs w:val="24"/>
        </w:rPr>
        <w:t xml:space="preserve"> </w:t>
      </w:r>
      <w:r w:rsidRPr="00371EC6">
        <w:rPr>
          <w:rStyle w:val="a4"/>
          <w:rFonts w:ascii="Book Antiqua" w:hAnsi="Book Antiqua"/>
          <w:b/>
          <w:color w:val="000000" w:themeColor="text1"/>
          <w:sz w:val="24"/>
          <w:szCs w:val="24"/>
        </w:rPr>
        <w:t>Inconsistency</w:t>
      </w:r>
      <w:r w:rsidRPr="00371EC6">
        <w:rPr>
          <w:rFonts w:ascii="Book Antiqua" w:hAnsi="Book Antiqua"/>
          <w:b w:val="0"/>
          <w:color w:val="000000" w:themeColor="text1"/>
          <w:sz w:val="24"/>
          <w:szCs w:val="24"/>
        </w:rPr>
        <w:t xml:space="preserve">: Not downgraded, as heterogeneity was low (I² = 0% for most outcomes, 31% for surgical intervention), and effect estimates were generally consistent in direction. </w:t>
      </w:r>
      <w:r w:rsidRPr="00CD6BB9">
        <w:rPr>
          <w:rFonts w:ascii="Book Antiqua" w:hAnsi="Book Antiqua"/>
          <w:color w:val="000000" w:themeColor="text1"/>
          <w:sz w:val="24"/>
          <w:szCs w:val="24"/>
          <w:vertAlign w:val="superscript"/>
        </w:rPr>
        <w:t>c</w:t>
      </w:r>
      <w:r w:rsidRPr="00371EC6">
        <w:rPr>
          <w:rFonts w:ascii="Book Antiqua" w:hAnsi="Book Antiqua"/>
          <w:b w:val="0"/>
          <w:color w:val="000000" w:themeColor="text1"/>
          <w:sz w:val="24"/>
          <w:szCs w:val="24"/>
        </w:rPr>
        <w:t xml:space="preserve"> </w:t>
      </w:r>
      <w:r w:rsidRPr="00371EC6">
        <w:rPr>
          <w:rStyle w:val="a4"/>
          <w:rFonts w:ascii="Book Antiqua" w:hAnsi="Book Antiqua"/>
          <w:b/>
          <w:color w:val="000000" w:themeColor="text1"/>
          <w:sz w:val="24"/>
          <w:szCs w:val="24"/>
        </w:rPr>
        <w:t>Imprecision</w:t>
      </w:r>
      <w:r w:rsidRPr="00371EC6">
        <w:rPr>
          <w:rFonts w:ascii="Book Antiqua" w:hAnsi="Book Antiqua"/>
          <w:b w:val="0"/>
          <w:color w:val="000000" w:themeColor="text1"/>
          <w:sz w:val="24"/>
          <w:szCs w:val="24"/>
        </w:rPr>
        <w:t>: Downgraded for outcomes with wide confidence intervals that include the null effect or for outcomes with limited studies/small sample sizes (e.g., hospital length of stay).</w:t>
      </w:r>
      <w:r w:rsidR="003C21A3">
        <w:rPr>
          <w:rFonts w:ascii="Book Antiqua" w:hAnsi="Book Antiqua"/>
          <w:b w:val="0"/>
          <w:color w:val="000000" w:themeColor="text1"/>
          <w:sz w:val="24"/>
          <w:szCs w:val="24"/>
        </w:rPr>
        <w:t xml:space="preserve"> </w:t>
      </w:r>
      <w:r w:rsidR="003C21A3" w:rsidRPr="009571E5">
        <w:rPr>
          <w:rFonts w:ascii="Book Antiqua" w:hAnsi="Book Antiqua"/>
          <w:color w:val="000000" w:themeColor="text1"/>
          <w:sz w:val="24"/>
          <w:szCs w:val="24"/>
          <w:vertAlign w:val="superscript"/>
        </w:rPr>
        <w:t>d</w:t>
      </w:r>
      <w:r w:rsidR="003C21A3" w:rsidRPr="009571E5">
        <w:rPr>
          <w:rFonts w:ascii="Book Antiqua" w:hAnsi="Book Antiqua"/>
          <w:color w:val="000000" w:themeColor="text1"/>
          <w:sz w:val="24"/>
          <w:szCs w:val="24"/>
        </w:rPr>
        <w:t>Indirectness:</w:t>
      </w:r>
      <w:r w:rsidR="003C21A3" w:rsidRPr="009571E5">
        <w:rPr>
          <w:rFonts w:ascii="Book Antiqua" w:hAnsi="Book Antiqua"/>
          <w:b w:val="0"/>
          <w:color w:val="000000" w:themeColor="text1"/>
          <w:sz w:val="24"/>
          <w:szCs w:val="24"/>
        </w:rPr>
        <w:t xml:space="preserve"> Downgraded due to notable protocol heterogeneity across trials, including differences in agents (somatostatin vs analogues), dosing schedules and durations, co-interventions, and non-standardized definitions of fistula closure, which limit direct applicability of the pooled estimate.</w:t>
      </w:r>
    </w:p>
    <w:p w14:paraId="7DD08D3F" w14:textId="77777777" w:rsidR="00D143F9" w:rsidRPr="00371EC6" w:rsidRDefault="00D143F9" w:rsidP="00D143F9">
      <w:pPr>
        <w:pStyle w:val="3"/>
        <w:rPr>
          <w:rFonts w:ascii="Book Antiqua" w:hAnsi="Book Antiqua"/>
          <w:color w:val="000000" w:themeColor="text1"/>
          <w:sz w:val="24"/>
          <w:szCs w:val="24"/>
        </w:rPr>
      </w:pPr>
      <w:r w:rsidRPr="00371EC6">
        <w:rPr>
          <w:rFonts w:ascii="Book Antiqua" w:hAnsi="Book Antiqua"/>
          <w:color w:val="000000" w:themeColor="text1"/>
          <w:sz w:val="24"/>
          <w:szCs w:val="24"/>
        </w:rPr>
        <w:t>Explanation of Certainty Levels</w:t>
      </w:r>
    </w:p>
    <w:p w14:paraId="44C7A5F8" w14:textId="77777777" w:rsidR="00D143F9" w:rsidRPr="00371EC6" w:rsidRDefault="00D143F9" w:rsidP="00D143F9">
      <w:pPr>
        <w:pStyle w:val="a5"/>
        <w:numPr>
          <w:ilvl w:val="0"/>
          <w:numId w:val="1"/>
        </w:numPr>
        <w:rPr>
          <w:rFonts w:ascii="Book Antiqua" w:hAnsi="Book Antiqua"/>
          <w:color w:val="000000" w:themeColor="text1"/>
          <w:lang w:val="en-US"/>
        </w:rPr>
      </w:pPr>
      <w:r w:rsidRPr="00371EC6">
        <w:rPr>
          <w:rStyle w:val="a4"/>
          <w:rFonts w:ascii="Book Antiqua" w:hAnsi="Book Antiqua"/>
          <w:color w:val="000000" w:themeColor="text1"/>
          <w:lang w:val="en-US"/>
        </w:rPr>
        <w:t>Moderate (</w:t>
      </w:r>
      <w:r w:rsidRPr="00371EC6">
        <w:rPr>
          <w:rStyle w:val="a4"/>
          <w:rFonts w:ascii="Cambria Math" w:hAnsi="Cambria Math" w:cs="Cambria Math"/>
          <w:color w:val="000000" w:themeColor="text1"/>
          <w:lang w:val="en-US"/>
        </w:rPr>
        <w:t>⊕⊕⊕◯</w:t>
      </w:r>
      <w:r w:rsidRPr="00371EC6">
        <w:rPr>
          <w:rStyle w:val="a4"/>
          <w:rFonts w:ascii="Book Antiqua" w:hAnsi="Book Antiqua"/>
          <w:color w:val="000000" w:themeColor="text1"/>
          <w:lang w:val="en-US"/>
        </w:rPr>
        <w:t>)</w:t>
      </w:r>
      <w:r w:rsidRPr="00371EC6">
        <w:rPr>
          <w:rFonts w:ascii="Book Antiqua" w:hAnsi="Book Antiqua"/>
          <w:color w:val="000000" w:themeColor="text1"/>
          <w:lang w:val="en-US"/>
        </w:rPr>
        <w:t>: Evidence is reliable but limited by risk of bias in included studies.</w:t>
      </w:r>
    </w:p>
    <w:p w14:paraId="3A36ED24" w14:textId="77777777" w:rsidR="00D143F9" w:rsidRPr="00390840" w:rsidRDefault="00D143F9" w:rsidP="00D143F9">
      <w:pPr>
        <w:pStyle w:val="a5"/>
        <w:numPr>
          <w:ilvl w:val="0"/>
          <w:numId w:val="1"/>
        </w:numPr>
        <w:spacing w:after="0" w:line="360" w:lineRule="auto"/>
        <w:rPr>
          <w:rFonts w:ascii="Book Antiqua" w:hAnsi="Book Antiqua" w:cstheme="minorHAnsi"/>
          <w:lang w:val="en-US"/>
        </w:rPr>
      </w:pPr>
      <w:r w:rsidRPr="00390840">
        <w:rPr>
          <w:rStyle w:val="a4"/>
          <w:rFonts w:ascii="Book Antiqua" w:hAnsi="Book Antiqua"/>
          <w:color w:val="000000" w:themeColor="text1"/>
          <w:lang w:val="en-US"/>
        </w:rPr>
        <w:t>Low (</w:t>
      </w:r>
      <w:r w:rsidRPr="00390840">
        <w:rPr>
          <w:rStyle w:val="a4"/>
          <w:rFonts w:ascii="Cambria Math" w:hAnsi="Cambria Math" w:cs="Cambria Math"/>
          <w:color w:val="000000" w:themeColor="text1"/>
          <w:lang w:val="en-US"/>
        </w:rPr>
        <w:t>⊕⊕◯◯</w:t>
      </w:r>
      <w:r w:rsidRPr="00390840">
        <w:rPr>
          <w:rStyle w:val="a4"/>
          <w:rFonts w:ascii="Book Antiqua" w:hAnsi="Book Antiqua"/>
          <w:color w:val="000000" w:themeColor="text1"/>
          <w:lang w:val="en-US"/>
        </w:rPr>
        <w:t>)</w:t>
      </w:r>
      <w:r w:rsidRPr="00390840">
        <w:rPr>
          <w:rFonts w:ascii="Book Antiqua" w:hAnsi="Book Antiqua"/>
          <w:color w:val="000000" w:themeColor="text1"/>
          <w:lang w:val="en-US"/>
        </w:rPr>
        <w:t>: Confidence in effect estimates is limited due to risk of bias and imprecision from small sample sizes or wide confidence intervals.</w:t>
      </w:r>
    </w:p>
    <w:p w14:paraId="683453F2" w14:textId="77777777" w:rsidR="00356CED" w:rsidRDefault="00356CED" w:rsidP="007C74D8">
      <w:pPr>
        <w:spacing w:after="0" w:line="360" w:lineRule="auto"/>
        <w:ind w:left="567"/>
        <w:rPr>
          <w:rFonts w:ascii="Book Antiqua" w:hAnsi="Book Antiqua" w:cstheme="minorHAnsi"/>
          <w:sz w:val="24"/>
          <w:szCs w:val="24"/>
          <w:lang w:val="en-US"/>
        </w:rPr>
      </w:pPr>
    </w:p>
    <w:p w14:paraId="3A854AE6" w14:textId="77777777" w:rsidR="00356CED" w:rsidRDefault="00356CED" w:rsidP="007C74D8">
      <w:pPr>
        <w:spacing w:after="0" w:line="360" w:lineRule="auto"/>
        <w:ind w:left="567"/>
        <w:rPr>
          <w:rFonts w:ascii="Book Antiqua" w:hAnsi="Book Antiqua" w:cstheme="minorHAnsi"/>
          <w:sz w:val="24"/>
          <w:szCs w:val="24"/>
          <w:lang w:val="en-US"/>
        </w:rPr>
      </w:pPr>
    </w:p>
    <w:p w14:paraId="2697272F" w14:textId="77777777" w:rsidR="00356CED" w:rsidRDefault="00356CED" w:rsidP="007C74D8">
      <w:pPr>
        <w:spacing w:after="0" w:line="360" w:lineRule="auto"/>
        <w:ind w:left="567"/>
        <w:rPr>
          <w:rFonts w:ascii="Book Antiqua" w:hAnsi="Book Antiqua" w:cstheme="minorHAnsi"/>
          <w:sz w:val="24"/>
          <w:szCs w:val="24"/>
          <w:lang w:val="en-US"/>
        </w:rPr>
      </w:pPr>
    </w:p>
    <w:p w14:paraId="0FC6F072" w14:textId="77777777" w:rsidR="00356CED" w:rsidRDefault="00356CED" w:rsidP="007C74D8">
      <w:pPr>
        <w:spacing w:after="0" w:line="360" w:lineRule="auto"/>
        <w:ind w:left="567"/>
        <w:rPr>
          <w:rFonts w:ascii="Book Antiqua" w:hAnsi="Book Antiqua" w:cstheme="minorHAnsi"/>
          <w:sz w:val="24"/>
          <w:szCs w:val="24"/>
          <w:lang w:val="en-US"/>
        </w:rPr>
      </w:pPr>
    </w:p>
    <w:sectPr w:rsidR="00356CED" w:rsidSect="007C4174">
      <w:pgSz w:w="16838" w:h="11906"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973804" w14:textId="77777777" w:rsidR="0078213C" w:rsidRDefault="0078213C">
      <w:pPr>
        <w:spacing w:after="0" w:line="240" w:lineRule="auto"/>
      </w:pPr>
    </w:p>
  </w:endnote>
  <w:endnote w:type="continuationSeparator" w:id="0">
    <w:p w14:paraId="0B871DC1" w14:textId="77777777" w:rsidR="0078213C" w:rsidRDefault="007821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432AC7" w14:textId="77777777" w:rsidR="0078213C" w:rsidRDefault="0078213C">
      <w:pPr>
        <w:spacing w:after="0" w:line="240" w:lineRule="auto"/>
      </w:pPr>
    </w:p>
  </w:footnote>
  <w:footnote w:type="continuationSeparator" w:id="0">
    <w:p w14:paraId="7C28DC66" w14:textId="77777777" w:rsidR="0078213C" w:rsidRDefault="0078213C">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020BA8"/>
    <w:multiLevelType w:val="multilevel"/>
    <w:tmpl w:val="AB4AC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174"/>
    <w:rsid w:val="000D1100"/>
    <w:rsid w:val="000E37FC"/>
    <w:rsid w:val="000F382E"/>
    <w:rsid w:val="000F5D05"/>
    <w:rsid w:val="0012351A"/>
    <w:rsid w:val="0015689C"/>
    <w:rsid w:val="00161F91"/>
    <w:rsid w:val="00176647"/>
    <w:rsid w:val="00181140"/>
    <w:rsid w:val="001A57BA"/>
    <w:rsid w:val="001D6EE4"/>
    <w:rsid w:val="002C5478"/>
    <w:rsid w:val="00356CED"/>
    <w:rsid w:val="00360AEC"/>
    <w:rsid w:val="00370198"/>
    <w:rsid w:val="003C21A3"/>
    <w:rsid w:val="003E3245"/>
    <w:rsid w:val="00482544"/>
    <w:rsid w:val="0048372D"/>
    <w:rsid w:val="00496C70"/>
    <w:rsid w:val="005061A1"/>
    <w:rsid w:val="00510E33"/>
    <w:rsid w:val="00580D77"/>
    <w:rsid w:val="00591657"/>
    <w:rsid w:val="005C586D"/>
    <w:rsid w:val="005F1B75"/>
    <w:rsid w:val="00604D84"/>
    <w:rsid w:val="00657586"/>
    <w:rsid w:val="00676C79"/>
    <w:rsid w:val="0069653B"/>
    <w:rsid w:val="006E2162"/>
    <w:rsid w:val="0072448C"/>
    <w:rsid w:val="0078213C"/>
    <w:rsid w:val="007C4174"/>
    <w:rsid w:val="007C74D8"/>
    <w:rsid w:val="00882CEE"/>
    <w:rsid w:val="00907DDD"/>
    <w:rsid w:val="0091531E"/>
    <w:rsid w:val="009571E5"/>
    <w:rsid w:val="00997BCF"/>
    <w:rsid w:val="00A836EF"/>
    <w:rsid w:val="00B35759"/>
    <w:rsid w:val="00B96977"/>
    <w:rsid w:val="00C84BC3"/>
    <w:rsid w:val="00CC6237"/>
    <w:rsid w:val="00D139A4"/>
    <w:rsid w:val="00D143F9"/>
    <w:rsid w:val="00DB111C"/>
    <w:rsid w:val="00DD72D6"/>
    <w:rsid w:val="00DF3766"/>
    <w:rsid w:val="00E23EC3"/>
    <w:rsid w:val="00E6635A"/>
    <w:rsid w:val="00E750D2"/>
    <w:rsid w:val="00EB2243"/>
    <w:rsid w:val="00F9088D"/>
    <w:rsid w:val="00FF2E2E"/>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9E1BC3"/>
  <w15:chartTrackingRefBased/>
  <w15:docId w15:val="{03B9818A-6E19-41A7-948A-883B87938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74D8"/>
  </w:style>
  <w:style w:type="paragraph" w:styleId="3">
    <w:name w:val="heading 3"/>
    <w:basedOn w:val="a"/>
    <w:next w:val="a"/>
    <w:link w:val="3Char"/>
    <w:uiPriority w:val="9"/>
    <w:unhideWhenUsed/>
    <w:qFormat/>
    <w:rsid w:val="00997BCF"/>
    <w:pPr>
      <w:keepNext/>
      <w:keepLines/>
      <w:spacing w:before="200" w:after="0" w:line="276" w:lineRule="auto"/>
      <w:outlineLvl w:val="2"/>
    </w:pPr>
    <w:rPr>
      <w:rFonts w:asciiTheme="majorHAnsi" w:eastAsiaTheme="majorEastAsia" w:hAnsiTheme="majorHAnsi" w:cstheme="majorBidi"/>
      <w:b/>
      <w:b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6C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
    <w:name w:val="标题 3 Char"/>
    <w:basedOn w:val="a0"/>
    <w:link w:val="3"/>
    <w:uiPriority w:val="9"/>
    <w:rsid w:val="00997BCF"/>
    <w:rPr>
      <w:rFonts w:asciiTheme="majorHAnsi" w:eastAsiaTheme="majorEastAsia" w:hAnsiTheme="majorHAnsi" w:cstheme="majorBidi"/>
      <w:b/>
      <w:bCs/>
      <w:color w:val="5B9BD5" w:themeColor="accent1"/>
      <w:lang w:val="en-US"/>
    </w:rPr>
  </w:style>
  <w:style w:type="character" w:styleId="a4">
    <w:name w:val="Strong"/>
    <w:basedOn w:val="a0"/>
    <w:uiPriority w:val="22"/>
    <w:qFormat/>
    <w:rsid w:val="00997BCF"/>
    <w:rPr>
      <w:b/>
      <w:bCs/>
    </w:rPr>
  </w:style>
  <w:style w:type="paragraph" w:styleId="a5">
    <w:name w:val="Normal (Web)"/>
    <w:basedOn w:val="a"/>
    <w:uiPriority w:val="99"/>
    <w:unhideWhenUsed/>
    <w:rsid w:val="00997BCF"/>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8310909">
      <w:bodyDiv w:val="1"/>
      <w:marLeft w:val="0"/>
      <w:marRight w:val="0"/>
      <w:marTop w:val="0"/>
      <w:marBottom w:val="0"/>
      <w:divBdr>
        <w:top w:val="none" w:sz="0" w:space="0" w:color="auto"/>
        <w:left w:val="none" w:sz="0" w:space="0" w:color="auto"/>
        <w:bottom w:val="none" w:sz="0" w:space="0" w:color="auto"/>
        <w:right w:val="none" w:sz="0" w:space="0" w:color="auto"/>
      </w:divBdr>
    </w:div>
    <w:div w:id="1893156990">
      <w:bodyDiv w:val="1"/>
      <w:marLeft w:val="0"/>
      <w:marRight w:val="0"/>
      <w:marTop w:val="0"/>
      <w:marBottom w:val="0"/>
      <w:divBdr>
        <w:top w:val="none" w:sz="0" w:space="0" w:color="auto"/>
        <w:left w:val="none" w:sz="0" w:space="0" w:color="auto"/>
        <w:bottom w:val="none" w:sz="0" w:space="0" w:color="auto"/>
        <w:right w:val="none" w:sz="0" w:space="0" w:color="auto"/>
      </w:divBdr>
    </w:div>
    <w:div w:id="193285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17009a6-20de-461a-8894-0312a395cac9}" enabled="0" method="" siteId="{717009a6-20de-461a-8894-0312a395cac9}"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4554</Words>
  <Characters>25961</Characters>
  <Application>Microsoft Office Word</Application>
  <DocSecurity>0</DocSecurity>
  <Lines>216</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 da Microsoft</dc:creator>
  <cp:keywords/>
  <dc:description/>
  <cp:lastModifiedBy>百世登</cp:lastModifiedBy>
  <cp:revision>3</cp:revision>
  <dcterms:created xsi:type="dcterms:W3CDTF">2025-10-29T01:53:00Z</dcterms:created>
  <dcterms:modified xsi:type="dcterms:W3CDTF">2025-10-29T01:53:00Z</dcterms:modified>
</cp:coreProperties>
</file>